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1073" w14:textId="191D3AC4" w:rsidR="002726FA" w:rsidRDefault="00BC6AEF" w:rsidP="002F2214">
      <w:pPr>
        <w:jc w:val="center"/>
        <w:rPr>
          <w:b/>
          <w:bCs/>
          <w:u w:val="single"/>
        </w:rPr>
      </w:pPr>
      <w:bookmarkStart w:id="0" w:name="_GoBack"/>
      <w:bookmarkEnd w:id="0"/>
      <w:r>
        <w:rPr>
          <w:b/>
          <w:bCs/>
          <w:u w:val="single"/>
        </w:rPr>
        <w:t>T</w:t>
      </w:r>
      <w:r w:rsidR="00B7394C">
        <w:rPr>
          <w:b/>
          <w:bCs/>
          <w:u w:val="single"/>
        </w:rPr>
        <w:t>echnical Memorandum</w:t>
      </w:r>
    </w:p>
    <w:p w14:paraId="73D7BBC5" w14:textId="7FA0D700" w:rsidR="00515311" w:rsidRDefault="00BC6AEF" w:rsidP="00BC6AEF">
      <w:pPr>
        <w:pStyle w:val="BodyText"/>
      </w:pPr>
      <w:r>
        <w:t xml:space="preserve">The original concept for the </w:t>
      </w:r>
      <w:r w:rsidRPr="00BC6AEF">
        <w:t>Lepenc Hydro System Project Phase 1</w:t>
      </w:r>
      <w:r w:rsidR="002F2214" w:rsidRPr="00BC6AEF">
        <w:t xml:space="preserve"> </w:t>
      </w:r>
      <w:r>
        <w:t xml:space="preserve">was developed </w:t>
      </w:r>
      <w:r w:rsidR="002F2214" w:rsidRPr="00BC6AEF">
        <w:t xml:space="preserve">in the early 1960s </w:t>
      </w:r>
      <w:r w:rsidR="00515311">
        <w:t xml:space="preserve">as one </w:t>
      </w:r>
      <w:r w:rsidR="00E47389">
        <w:t xml:space="preserve">of two </w:t>
      </w:r>
      <w:r w:rsidR="00515311">
        <w:t>component</w:t>
      </w:r>
      <w:r w:rsidR="00E47389">
        <w:t>s</w:t>
      </w:r>
      <w:r w:rsidR="00515311">
        <w:t xml:space="preserve"> of a long term</w:t>
      </w:r>
      <w:r w:rsidR="002F2214" w:rsidRPr="00BC6AEF">
        <w:t xml:space="preserve"> project to transfer water impounded in reservoirs </w:t>
      </w:r>
      <w:r w:rsidR="00515311">
        <w:t xml:space="preserve">in </w:t>
      </w:r>
      <w:r w:rsidR="002F2214" w:rsidRPr="00BC6AEF">
        <w:t xml:space="preserve">the Iber and Lepenc catchments to Central Kosovo. </w:t>
      </w:r>
      <w:r w:rsidR="007D61DA">
        <w:t xml:space="preserve">The overall scope of the project is shown in </w:t>
      </w:r>
      <w:r w:rsidR="00906869">
        <w:fldChar w:fldCharType="begin"/>
      </w:r>
      <w:r w:rsidR="00906869">
        <w:instrText xml:space="preserve"> REF _Ref131178882 \h </w:instrText>
      </w:r>
      <w:r w:rsidR="00906869">
        <w:fldChar w:fldCharType="separate"/>
      </w:r>
      <w:r w:rsidR="00906869">
        <w:t xml:space="preserve">Figure </w:t>
      </w:r>
      <w:r w:rsidR="00906869">
        <w:rPr>
          <w:noProof/>
        </w:rPr>
        <w:t>1</w:t>
      </w:r>
      <w:r w:rsidR="00906869">
        <w:fldChar w:fldCharType="end"/>
      </w:r>
      <w:r w:rsidR="007D61DA">
        <w:t xml:space="preserve">. </w:t>
      </w:r>
    </w:p>
    <w:p w14:paraId="34524D39" w14:textId="77777777" w:rsidR="00EC0010" w:rsidRDefault="00EC0010" w:rsidP="00BC6AE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719"/>
      </w:tblGrid>
      <w:tr w:rsidR="00272EC7" w14:paraId="39D57E08" w14:textId="77777777" w:rsidTr="00272EC7">
        <w:tc>
          <w:tcPr>
            <w:tcW w:w="5524" w:type="dxa"/>
          </w:tcPr>
          <w:p w14:paraId="5A1FEB26" w14:textId="258AA1DC" w:rsidR="00EC0010" w:rsidRDefault="00EC0010" w:rsidP="00EC0010">
            <w:pPr>
              <w:pStyle w:val="Caption"/>
              <w:keepNext/>
            </w:pPr>
            <w:bookmarkStart w:id="1" w:name="_Ref131178882"/>
            <w:r>
              <w:t xml:space="preserve">Figure </w:t>
            </w:r>
            <w:r w:rsidR="002530FB">
              <w:fldChar w:fldCharType="begin"/>
            </w:r>
            <w:r w:rsidR="002530FB">
              <w:instrText xml:space="preserve"> SEQ Figure \* ARABIC </w:instrText>
            </w:r>
            <w:r w:rsidR="002530FB">
              <w:fldChar w:fldCharType="separate"/>
            </w:r>
            <w:r w:rsidR="00906869">
              <w:rPr>
                <w:noProof/>
              </w:rPr>
              <w:t>1</w:t>
            </w:r>
            <w:r w:rsidR="002530FB">
              <w:rPr>
                <w:noProof/>
              </w:rPr>
              <w:fldChar w:fldCharType="end"/>
            </w:r>
            <w:bookmarkEnd w:id="1"/>
            <w:r>
              <w:t xml:space="preserve"> - Layout of the Iber-Lepenc Hydro System</w:t>
            </w:r>
          </w:p>
          <w:p w14:paraId="20EF1E8B" w14:textId="777DA271" w:rsidR="00EC0010" w:rsidRDefault="00EC0010" w:rsidP="00BC6AEF">
            <w:pPr>
              <w:pStyle w:val="BodyText"/>
            </w:pPr>
            <w:r w:rsidRPr="005B13D6">
              <w:rPr>
                <w:noProof/>
                <w:lang w:val="en-US" w:eastAsia="en-US"/>
              </w:rPr>
              <w:drawing>
                <wp:inline distT="0" distB="0" distL="0" distR="0" wp14:anchorId="45F56A02" wp14:editId="549BD3A5">
                  <wp:extent cx="3327991" cy="3677920"/>
                  <wp:effectExtent l="0" t="0" r="0" b="5080"/>
                  <wp:docPr id="10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684" cy="3749416"/>
                          </a:xfrm>
                          <a:prstGeom prst="rect">
                            <a:avLst/>
                          </a:prstGeom>
                          <a:noFill/>
                          <a:ln>
                            <a:noFill/>
                          </a:ln>
                        </pic:spPr>
                      </pic:pic>
                    </a:graphicData>
                  </a:graphic>
                </wp:inline>
              </w:drawing>
            </w:r>
          </w:p>
        </w:tc>
        <w:tc>
          <w:tcPr>
            <w:tcW w:w="3826" w:type="dxa"/>
          </w:tcPr>
          <w:p w14:paraId="045E1682" w14:textId="349A302E" w:rsidR="00EC0010" w:rsidRDefault="00EC0010" w:rsidP="00BC6AEF">
            <w:pPr>
              <w:pStyle w:val="BodyText"/>
              <w:rPr>
                <w:lang w:val="en-US"/>
              </w:rPr>
            </w:pPr>
            <w:r w:rsidRPr="00BC6AEF">
              <w:t xml:space="preserve">The Iber Sub-system project was implemented in the 1980s and has been in operation for </w:t>
            </w:r>
            <w:r>
              <w:t>40</w:t>
            </w:r>
            <w:r w:rsidRPr="00BC6AEF">
              <w:t xml:space="preserve"> years. The Lepenc Sub-system was developed to detailed design at the same time but </w:t>
            </w:r>
            <w:r>
              <w:t>was</w:t>
            </w:r>
            <w:r w:rsidRPr="00BC6AEF">
              <w:t xml:space="preserve"> not implemented.</w:t>
            </w:r>
          </w:p>
          <w:p w14:paraId="0BEEF9E0" w14:textId="77777777" w:rsidR="00EC0010" w:rsidRDefault="00EC0010" w:rsidP="00BC6AEF">
            <w:pPr>
              <w:pStyle w:val="BodyText"/>
              <w:rPr>
                <w:lang w:val="en-US"/>
              </w:rPr>
            </w:pPr>
          </w:p>
          <w:p w14:paraId="10737ED5" w14:textId="5E704FC5" w:rsidR="00EC0010" w:rsidRDefault="00EC0010" w:rsidP="00BC6AEF">
            <w:pPr>
              <w:pStyle w:val="BodyText"/>
            </w:pPr>
            <w:r>
              <w:rPr>
                <w:lang w:val="en-US"/>
              </w:rPr>
              <w:t>R</w:t>
            </w:r>
            <w:r w:rsidRPr="00BC6AEF">
              <w:rPr>
                <w:lang w:val="en-US"/>
              </w:rPr>
              <w:t>apid growth of urban areas and inadequate water resources in Central and South-East Kosovo</w:t>
            </w:r>
            <w:r>
              <w:rPr>
                <w:lang w:val="en-US"/>
              </w:rPr>
              <w:t xml:space="preserve">, </w:t>
            </w:r>
            <w:r w:rsidRPr="00BC6AEF">
              <w:rPr>
                <w:lang w:val="en-US"/>
              </w:rPr>
              <w:t xml:space="preserve">compounded </w:t>
            </w:r>
            <w:r>
              <w:rPr>
                <w:lang w:val="en-US"/>
              </w:rPr>
              <w:t xml:space="preserve">by </w:t>
            </w:r>
            <w:r w:rsidRPr="00BC6AEF">
              <w:rPr>
                <w:lang w:val="en-US"/>
              </w:rPr>
              <w:t>extremely dry periods and poor rainfall in the last 12 years</w:t>
            </w:r>
            <w:r>
              <w:rPr>
                <w:lang w:val="en-US"/>
              </w:rPr>
              <w:t xml:space="preserve"> have created</w:t>
            </w:r>
            <w:r w:rsidRPr="00BC6AEF">
              <w:rPr>
                <w:lang w:val="en-US"/>
              </w:rPr>
              <w:t xml:space="preserve"> critical water shortages and supply rationing </w:t>
            </w:r>
            <w:r>
              <w:rPr>
                <w:lang w:val="en-US"/>
              </w:rPr>
              <w:t>in</w:t>
            </w:r>
            <w:r w:rsidRPr="00BC6AEF">
              <w:rPr>
                <w:lang w:val="en-US"/>
              </w:rPr>
              <w:t xml:space="preserve"> Regional Water Companies (RWCs) service areas</w:t>
            </w:r>
            <w:r>
              <w:rPr>
                <w:lang w:val="en-US"/>
              </w:rPr>
              <w:t>.</w:t>
            </w:r>
            <w:r w:rsidRPr="00BC6AEF">
              <w:rPr>
                <w:lang w:val="en-US"/>
              </w:rPr>
              <w:t xml:space="preserve"> </w:t>
            </w:r>
            <w:r>
              <w:t xml:space="preserve">The objective of the Lepenc hydro system, </w:t>
            </w:r>
            <w:r w:rsidRPr="00015ED2">
              <w:t xml:space="preserve">Phase I </w:t>
            </w:r>
            <w:r>
              <w:t>is to</w:t>
            </w:r>
            <w:r w:rsidRPr="00015ED2">
              <w:t xml:space="preserve"> </w:t>
            </w:r>
            <w:r>
              <w:t xml:space="preserve">provide a </w:t>
            </w:r>
            <w:r w:rsidRPr="00015ED2">
              <w:t xml:space="preserve">secure water supply for the </w:t>
            </w:r>
            <w:r>
              <w:t>immediate</w:t>
            </w:r>
            <w:r w:rsidRPr="00015ED2">
              <w:t xml:space="preserve"> nee</w:t>
            </w:r>
            <w:r>
              <w:t>ds</w:t>
            </w:r>
            <w:r w:rsidRPr="00015ED2">
              <w:t xml:space="preserve"> of the over 400,000</w:t>
            </w:r>
            <w:r>
              <w:t xml:space="preserve"> people living</w:t>
            </w:r>
            <w:r w:rsidRPr="00015ED2">
              <w:t xml:space="preserve"> </w:t>
            </w:r>
            <w:r>
              <w:t xml:space="preserve">in the project area, which is shown in </w:t>
            </w:r>
            <w:r w:rsidR="00E6519E">
              <w:fldChar w:fldCharType="begin"/>
            </w:r>
            <w:r w:rsidR="00E6519E">
              <w:instrText xml:space="preserve"> REF _Ref131178753 \h </w:instrText>
            </w:r>
            <w:r w:rsidR="00E6519E">
              <w:fldChar w:fldCharType="separate"/>
            </w:r>
            <w:r w:rsidR="00E6519E">
              <w:t xml:space="preserve">Figure </w:t>
            </w:r>
            <w:r w:rsidR="00E6519E">
              <w:rPr>
                <w:noProof/>
              </w:rPr>
              <w:t>2</w:t>
            </w:r>
            <w:r w:rsidR="00E6519E">
              <w:fldChar w:fldCharType="end"/>
            </w:r>
            <w:r>
              <w:t>.</w:t>
            </w:r>
          </w:p>
        </w:tc>
      </w:tr>
      <w:tr w:rsidR="00E6519E" w14:paraId="3890B8F2" w14:textId="77777777" w:rsidTr="00272EC7">
        <w:tc>
          <w:tcPr>
            <w:tcW w:w="5524" w:type="dxa"/>
          </w:tcPr>
          <w:p w14:paraId="171B2942" w14:textId="3E5656D4" w:rsidR="00E6519E" w:rsidRDefault="00E6519E" w:rsidP="00E6519E">
            <w:pPr>
              <w:pStyle w:val="Caption"/>
              <w:keepNext/>
            </w:pPr>
            <w:bookmarkStart w:id="2" w:name="_Ref131178753"/>
            <w:r>
              <w:t xml:space="preserve">Figure </w:t>
            </w:r>
            <w:r w:rsidR="002530FB">
              <w:fldChar w:fldCharType="begin"/>
            </w:r>
            <w:r w:rsidR="002530FB">
              <w:instrText xml:space="preserve"> SEQ Figure \* ARABIC </w:instrText>
            </w:r>
            <w:r w:rsidR="002530FB">
              <w:fldChar w:fldCharType="separate"/>
            </w:r>
            <w:r w:rsidR="00906869">
              <w:rPr>
                <w:noProof/>
              </w:rPr>
              <w:t>2</w:t>
            </w:r>
            <w:r w:rsidR="002530FB">
              <w:rPr>
                <w:noProof/>
              </w:rPr>
              <w:fldChar w:fldCharType="end"/>
            </w:r>
            <w:bookmarkEnd w:id="2"/>
            <w:r>
              <w:t xml:space="preserve"> - Regional Water Company Service Areas</w:t>
            </w:r>
          </w:p>
          <w:p w14:paraId="15572FD2" w14:textId="0574BB35" w:rsidR="00EC0010" w:rsidRPr="00EC0010" w:rsidRDefault="00E6519E" w:rsidP="00EC0010">
            <w:pPr>
              <w:pStyle w:val="Caption"/>
              <w:keepNext/>
              <w:rPr>
                <w:i w:val="0"/>
                <w:iCs w:val="0"/>
              </w:rPr>
            </w:pPr>
            <w:r w:rsidRPr="00E6519E">
              <w:rPr>
                <w:i w:val="0"/>
                <w:iCs w:val="0"/>
                <w:noProof/>
              </w:rPr>
              <w:drawing>
                <wp:inline distT="0" distB="0" distL="0" distR="0" wp14:anchorId="6A3E8AD0" wp14:editId="4B86CA96">
                  <wp:extent cx="3444949" cy="235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744" t="29538" r="5336" b="14020"/>
                          <a:stretch/>
                        </pic:blipFill>
                        <pic:spPr bwMode="auto">
                          <a:xfrm>
                            <a:off x="0" y="0"/>
                            <a:ext cx="3485134" cy="2381044"/>
                          </a:xfrm>
                          <a:prstGeom prst="rect">
                            <a:avLst/>
                          </a:prstGeom>
                          <a:ln>
                            <a:noFill/>
                          </a:ln>
                          <a:extLst>
                            <a:ext uri="{53640926-AAD7-44D8-BBD7-CCE9431645EC}">
                              <a14:shadowObscured xmlns:a14="http://schemas.microsoft.com/office/drawing/2010/main"/>
                            </a:ext>
                          </a:extLst>
                        </pic:spPr>
                      </pic:pic>
                    </a:graphicData>
                  </a:graphic>
                </wp:inline>
              </w:drawing>
            </w:r>
          </w:p>
        </w:tc>
        <w:tc>
          <w:tcPr>
            <w:tcW w:w="3826" w:type="dxa"/>
          </w:tcPr>
          <w:p w14:paraId="4CD23D91" w14:textId="221211EB" w:rsidR="00EC0010" w:rsidRPr="00BC6AEF" w:rsidRDefault="00906869" w:rsidP="00BC6AEF">
            <w:pPr>
              <w:pStyle w:val="BodyText"/>
            </w:pPr>
            <w:r w:rsidRPr="003D074D">
              <w:t>The Ministry of Environment and Infrastructure, with assistance from the European Bank for Reconstruction and Development (EBRD), commissioned a study in 2017 to review and update the plans to develop the Lepenc river with a diversion dam on the Lepenc river at Firaja and a storage dam in a valley just west of Shtime. In early 2020 the study reported that the 1970s scheme remained valid in principle but required substantial changes to accommodate the expansion of the Southern towns. It recommended that the project be implanted in two phases</w:t>
            </w:r>
            <w:r>
              <w:t>.</w:t>
            </w:r>
          </w:p>
        </w:tc>
      </w:tr>
    </w:tbl>
    <w:p w14:paraId="3C0A9208" w14:textId="77777777" w:rsidR="00906869" w:rsidRDefault="00906869" w:rsidP="002F2214">
      <w:pPr>
        <w:pStyle w:val="BodyText"/>
      </w:pPr>
    </w:p>
    <w:p w14:paraId="5811960D" w14:textId="58652A09" w:rsidR="002F2214" w:rsidRDefault="002F2214" w:rsidP="002F2214">
      <w:pPr>
        <w:pStyle w:val="BodyText"/>
      </w:pPr>
      <w:r>
        <w:lastRenderedPageBreak/>
        <w:t xml:space="preserve">The Phase 1 Lepenc system </w:t>
      </w:r>
      <w:r w:rsidR="001F6514">
        <w:t xml:space="preserve">is designed to divert 1 m3/s from the Lepenc river </w:t>
      </w:r>
      <w:r w:rsidR="00816325" w:rsidRPr="003D074D">
        <w:t xml:space="preserve">for treatment by the three Regional Water Companies (RWCs) who provide drinking water to over 400,000 people </w:t>
      </w:r>
      <w:r w:rsidR="00816325">
        <w:t>in</w:t>
      </w:r>
      <w:r w:rsidR="00816325" w:rsidRPr="003D074D">
        <w:t xml:space="preserve"> the 9 municipalities in Eastern and Southern Kosovo</w:t>
      </w:r>
      <w:r w:rsidR="00816325">
        <w:t xml:space="preserve">, </w:t>
      </w:r>
      <w:r w:rsidR="00816325" w:rsidRPr="003D074D">
        <w:t xml:space="preserve">40% of </w:t>
      </w:r>
      <w:r w:rsidR="00816325">
        <w:t>whom</w:t>
      </w:r>
      <w:r w:rsidR="00816325" w:rsidRPr="003D074D">
        <w:t xml:space="preserve"> </w:t>
      </w:r>
      <w:r w:rsidR="00816325">
        <w:t>lack</w:t>
      </w:r>
      <w:r w:rsidR="00816325" w:rsidRPr="003D074D">
        <w:t xml:space="preserve"> proper access to public water</w:t>
      </w:r>
      <w:r w:rsidR="00816325">
        <w:t xml:space="preserve">, </w:t>
      </w:r>
      <w:r w:rsidR="00816325" w:rsidRPr="003D074D">
        <w:t>together with the requirements of the</w:t>
      </w:r>
      <w:r w:rsidR="00816325">
        <w:t>ir</w:t>
      </w:r>
      <w:r w:rsidR="00816325" w:rsidRPr="003D074D">
        <w:t xml:space="preserve"> </w:t>
      </w:r>
      <w:r w:rsidR="00816325">
        <w:t xml:space="preserve">associated </w:t>
      </w:r>
      <w:r w:rsidR="00816325" w:rsidRPr="003D074D">
        <w:t>commercial and institutional consumers</w:t>
      </w:r>
      <w:r w:rsidR="00816325">
        <w:t>. It comprises</w:t>
      </w:r>
      <w:r>
        <w:t>:</w:t>
      </w:r>
    </w:p>
    <w:p w14:paraId="41208451" w14:textId="0A29601D" w:rsidR="00910DF0" w:rsidRDefault="002F2214" w:rsidP="002F2214">
      <w:pPr>
        <w:pStyle w:val="BodyText"/>
        <w:numPr>
          <w:ilvl w:val="0"/>
          <w:numId w:val="1"/>
        </w:numPr>
      </w:pPr>
      <w:r>
        <w:t>a 3</w:t>
      </w:r>
      <w:r w:rsidR="005677A5">
        <w:t>4.</w:t>
      </w:r>
      <w:r w:rsidR="00910DF0">
        <w:t>5</w:t>
      </w:r>
      <w:r>
        <w:t xml:space="preserve"> m </w:t>
      </w:r>
      <w:r w:rsidR="001F6514">
        <w:t>high diversion dam at Firaja impounding a total</w:t>
      </w:r>
      <w:r w:rsidR="00910DF0">
        <w:t xml:space="preserve"> volume of </w:t>
      </w:r>
      <w:r w:rsidR="00A17D2D">
        <w:t xml:space="preserve">7 </w:t>
      </w:r>
      <w:r w:rsidR="001F6514">
        <w:t>million</w:t>
      </w:r>
      <w:r w:rsidR="00910DF0">
        <w:t xml:space="preserve"> </w:t>
      </w:r>
      <w:r w:rsidR="001F6514">
        <w:t>m</w:t>
      </w:r>
      <w:r w:rsidR="00910DF0">
        <w:rPr>
          <w:vertAlign w:val="superscript"/>
        </w:rPr>
        <w:t>3</w:t>
      </w:r>
      <w:r w:rsidR="00A17D2D">
        <w:t xml:space="preserve"> </w:t>
      </w:r>
      <w:r w:rsidR="001F6514">
        <w:t>comprising</w:t>
      </w:r>
      <w:r w:rsidR="00A17D2D">
        <w:t xml:space="preserve"> live storage of 4.75 </w:t>
      </w:r>
      <w:r w:rsidR="001F6514">
        <w:t>million m</w:t>
      </w:r>
      <w:r w:rsidR="00A17D2D">
        <w:rPr>
          <w:vertAlign w:val="superscript"/>
        </w:rPr>
        <w:t>3</w:t>
      </w:r>
      <w:r w:rsidR="00A17D2D">
        <w:t>.</w:t>
      </w:r>
    </w:p>
    <w:p w14:paraId="7A09A11F" w14:textId="2F7136B3" w:rsidR="00910DF0" w:rsidRDefault="001F6514" w:rsidP="002F2214">
      <w:pPr>
        <w:pStyle w:val="BodyText"/>
        <w:numPr>
          <w:ilvl w:val="0"/>
          <w:numId w:val="1"/>
        </w:numPr>
      </w:pPr>
      <w:r>
        <w:t>a</w:t>
      </w:r>
      <w:r w:rsidR="00910DF0">
        <w:t xml:space="preserve"> 4.2 km </w:t>
      </w:r>
      <w:r>
        <w:t xml:space="preserve">transfer tunnel </w:t>
      </w:r>
      <w:r w:rsidR="00910DF0">
        <w:t>from Firaja dam to Gacke</w:t>
      </w:r>
    </w:p>
    <w:p w14:paraId="0F12E14B" w14:textId="26CD8E15" w:rsidR="002F2214" w:rsidRDefault="001F6514" w:rsidP="002F2214">
      <w:pPr>
        <w:pStyle w:val="BodyText"/>
        <w:numPr>
          <w:ilvl w:val="0"/>
          <w:numId w:val="1"/>
        </w:numPr>
      </w:pPr>
      <w:r>
        <w:t>about 70 km of untreated water conveyor pipelines from Gacke</w:t>
      </w:r>
      <w:r w:rsidR="00910DF0">
        <w:t xml:space="preserve"> pipelines to </w:t>
      </w:r>
      <w:r>
        <w:t xml:space="preserve">head tanks at </w:t>
      </w:r>
      <w:r w:rsidR="00910DF0">
        <w:t>Shtime, Ferizaj and Gjilan</w:t>
      </w:r>
      <w:r>
        <w:t>.</w:t>
      </w:r>
    </w:p>
    <w:p w14:paraId="43818CE8" w14:textId="105E3D1B" w:rsidR="005677A5" w:rsidRDefault="005677A5" w:rsidP="002F2214">
      <w:pPr>
        <w:pStyle w:val="BodyText"/>
      </w:pPr>
    </w:p>
    <w:p w14:paraId="648FD5A7" w14:textId="0EA13334" w:rsidR="00906869" w:rsidRDefault="00906869" w:rsidP="002F2214">
      <w:pPr>
        <w:pStyle w:val="BodyText"/>
      </w:pPr>
      <w:r>
        <w:t xml:space="preserve">The overall layout of the scheme components is shown in </w:t>
      </w:r>
      <w:r>
        <w:fldChar w:fldCharType="begin"/>
      </w:r>
      <w:r>
        <w:instrText xml:space="preserve"> REF _Ref131179163 \h </w:instrText>
      </w:r>
      <w:r>
        <w:fldChar w:fldCharType="separate"/>
      </w:r>
      <w:r>
        <w:t xml:space="preserve">Figure </w:t>
      </w:r>
      <w:r>
        <w:rPr>
          <w:noProof/>
        </w:rPr>
        <w:t>3</w:t>
      </w:r>
      <w:r>
        <w:fldChar w:fldCharType="end"/>
      </w:r>
      <w:r>
        <w:t>.</w:t>
      </w:r>
    </w:p>
    <w:p w14:paraId="0AA37FDD" w14:textId="77777777" w:rsidR="00906869" w:rsidRDefault="00906869" w:rsidP="002F2214">
      <w:pPr>
        <w:pStyle w:val="BodyText"/>
      </w:pPr>
    </w:p>
    <w:p w14:paraId="6EE45729" w14:textId="2ECF6263" w:rsidR="00906869" w:rsidRDefault="00906869" w:rsidP="00906869">
      <w:pPr>
        <w:pStyle w:val="Caption"/>
        <w:keepNext/>
      </w:pPr>
      <w:bookmarkStart w:id="3" w:name="_Ref131179163"/>
      <w:r>
        <w:t xml:space="preserve">Figure </w:t>
      </w:r>
      <w:r w:rsidR="002530FB">
        <w:fldChar w:fldCharType="begin"/>
      </w:r>
      <w:r w:rsidR="002530FB">
        <w:instrText xml:space="preserve"> SEQ Figure \* ARABIC </w:instrText>
      </w:r>
      <w:r w:rsidR="002530FB">
        <w:fldChar w:fldCharType="separate"/>
      </w:r>
      <w:r>
        <w:rPr>
          <w:noProof/>
        </w:rPr>
        <w:t>3</w:t>
      </w:r>
      <w:r w:rsidR="002530FB">
        <w:rPr>
          <w:noProof/>
        </w:rPr>
        <w:fldChar w:fldCharType="end"/>
      </w:r>
      <w:bookmarkEnd w:id="3"/>
      <w:r>
        <w:t xml:space="preserve"> - Layout of the Phase 1 Lepenc system</w:t>
      </w:r>
    </w:p>
    <w:p w14:paraId="118CBB1C" w14:textId="1E8CBCB8" w:rsidR="00906869" w:rsidRDefault="00906869" w:rsidP="002F2214">
      <w:pPr>
        <w:pStyle w:val="BodyText"/>
      </w:pPr>
      <w:r w:rsidRPr="00906869">
        <w:rPr>
          <w:noProof/>
          <w:lang w:val="en-US" w:eastAsia="en-US"/>
        </w:rPr>
        <w:drawing>
          <wp:inline distT="0" distB="0" distL="0" distR="0" wp14:anchorId="1830A97A" wp14:editId="4131921C">
            <wp:extent cx="5943600" cy="332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29940"/>
                    </a:xfrm>
                    <a:prstGeom prst="rect">
                      <a:avLst/>
                    </a:prstGeom>
                  </pic:spPr>
                </pic:pic>
              </a:graphicData>
            </a:graphic>
          </wp:inline>
        </w:drawing>
      </w:r>
    </w:p>
    <w:p w14:paraId="196F3D93" w14:textId="77777777" w:rsidR="00906869" w:rsidRDefault="00906869" w:rsidP="002F2214">
      <w:pPr>
        <w:pStyle w:val="BodyText"/>
      </w:pPr>
    </w:p>
    <w:p w14:paraId="0035885E" w14:textId="3D6CFE94" w:rsidR="004E3A8F" w:rsidRDefault="00482FA4" w:rsidP="002F2214">
      <w:pPr>
        <w:pStyle w:val="BodyText"/>
      </w:pPr>
      <w:r>
        <w:t xml:space="preserve">The hydrological </w:t>
      </w:r>
      <w:r w:rsidR="00816325">
        <w:t xml:space="preserve">evaluation </w:t>
      </w:r>
      <w:r w:rsidR="004E3A8F">
        <w:t xml:space="preserve">of </w:t>
      </w:r>
      <w:r w:rsidR="00816325">
        <w:t xml:space="preserve">the </w:t>
      </w:r>
      <w:r w:rsidR="004E3A8F">
        <w:t xml:space="preserve">Lepenc river at the Firaja dam </w:t>
      </w:r>
      <w:r w:rsidR="00816325">
        <w:t>for the 2017 feasibility study was</w:t>
      </w:r>
      <w:r w:rsidR="004E3A8F">
        <w:t xml:space="preserve"> based on:</w:t>
      </w:r>
    </w:p>
    <w:p w14:paraId="4C4C50C4" w14:textId="1D7E22F5" w:rsidR="004E3A8F" w:rsidRDefault="004E3A8F" w:rsidP="004E3A8F">
      <w:pPr>
        <w:pStyle w:val="BodyText"/>
        <w:numPr>
          <w:ilvl w:val="0"/>
          <w:numId w:val="1"/>
        </w:numPr>
      </w:pPr>
      <w:r>
        <w:t xml:space="preserve">The hydrological study of the original detailed design of Lepenc Sub-Project in </w:t>
      </w:r>
      <w:r w:rsidR="003D074D">
        <w:t xml:space="preserve">the </w:t>
      </w:r>
      <w:r>
        <w:t>1970’s</w:t>
      </w:r>
      <w:r w:rsidR="003D074D">
        <w:t>,</w:t>
      </w:r>
      <w:r>
        <w:t xml:space="preserve"> prepared by ENERGOPROJEKT</w:t>
      </w:r>
    </w:p>
    <w:p w14:paraId="0D652402" w14:textId="2493455F" w:rsidR="004E3A8F" w:rsidRDefault="004E3A8F" w:rsidP="004E3A8F">
      <w:pPr>
        <w:pStyle w:val="BodyText"/>
        <w:numPr>
          <w:ilvl w:val="0"/>
          <w:numId w:val="1"/>
        </w:numPr>
      </w:pPr>
      <w:r>
        <w:t xml:space="preserve">The </w:t>
      </w:r>
      <w:r w:rsidR="003D074D">
        <w:t xml:space="preserve">1986 ENERGOPROJEKT </w:t>
      </w:r>
      <w:r>
        <w:t>revised hydrological report for Lepenc river at the Firaja dam ax</w:t>
      </w:r>
      <w:r w:rsidR="003D074D">
        <w:t>i</w:t>
      </w:r>
      <w:r>
        <w:t>s</w:t>
      </w:r>
    </w:p>
    <w:p w14:paraId="66ECEA8C" w14:textId="63D90F9C" w:rsidR="004E3A8F" w:rsidRDefault="003D074D" w:rsidP="004E3A8F">
      <w:pPr>
        <w:pStyle w:val="BodyText"/>
        <w:numPr>
          <w:ilvl w:val="0"/>
          <w:numId w:val="1"/>
        </w:numPr>
      </w:pPr>
      <w:r>
        <w:t>A</w:t>
      </w:r>
      <w:r w:rsidR="004E3A8F">
        <w:t>vailable hydrometeorological data for the period after 1986</w:t>
      </w:r>
    </w:p>
    <w:p w14:paraId="0D8D33F6" w14:textId="31116D7C" w:rsidR="004E3A8F" w:rsidRDefault="003D074D" w:rsidP="004E3A8F">
      <w:pPr>
        <w:pStyle w:val="BodyText"/>
        <w:numPr>
          <w:ilvl w:val="0"/>
          <w:numId w:val="1"/>
        </w:numPr>
      </w:pPr>
      <w:r>
        <w:t>N</w:t>
      </w:r>
      <w:r w:rsidR="004E3A8F">
        <w:t>ew data collected by the Kosovo Hydrometeorological Institute after 2006</w:t>
      </w:r>
    </w:p>
    <w:p w14:paraId="169A17C8" w14:textId="09F3D7F0" w:rsidR="00BF5833" w:rsidRDefault="003D074D" w:rsidP="004E3A8F">
      <w:pPr>
        <w:pStyle w:val="BodyText"/>
        <w:numPr>
          <w:ilvl w:val="0"/>
          <w:numId w:val="1"/>
        </w:numPr>
      </w:pPr>
      <w:r>
        <w:t>Additional</w:t>
      </w:r>
      <w:r w:rsidR="004E3A8F">
        <w:t xml:space="preserve"> measurement</w:t>
      </w:r>
      <w:r w:rsidR="00816325">
        <w:t>s</w:t>
      </w:r>
      <w:r w:rsidR="004E3A8F">
        <w:t xml:space="preserve"> made during the feasibility study on the temporary </w:t>
      </w:r>
      <w:r w:rsidR="00BF5833">
        <w:t>hydrometeorological stations installed in Kacanik (Nerodime river), Brod (Lepenc river) and Hani I Elezit (Lepenc river).</w:t>
      </w:r>
    </w:p>
    <w:p w14:paraId="766103DB" w14:textId="77777777" w:rsidR="00816325" w:rsidRDefault="00816325" w:rsidP="00BF5833">
      <w:pPr>
        <w:pStyle w:val="BodyText"/>
      </w:pPr>
    </w:p>
    <w:p w14:paraId="0E6A5DA1" w14:textId="6BA64174" w:rsidR="0081464F" w:rsidRDefault="0053463A" w:rsidP="00BF5833">
      <w:pPr>
        <w:pStyle w:val="BodyText"/>
      </w:pPr>
      <w:r>
        <w:t>T</w:t>
      </w:r>
      <w:r w:rsidR="00901D4F">
        <w:t>he</w:t>
      </w:r>
      <w:r>
        <w:t xml:space="preserve"> findings</w:t>
      </w:r>
      <w:r w:rsidR="0081464F">
        <w:t xml:space="preserve"> for </w:t>
      </w:r>
      <w:r w:rsidR="009E733B">
        <w:t>four characteristic</w:t>
      </w:r>
      <w:r w:rsidR="0081464F">
        <w:t xml:space="preserve"> </w:t>
      </w:r>
      <w:r w:rsidR="009E733B">
        <w:t xml:space="preserve">hydrometric stations </w:t>
      </w:r>
      <w:r w:rsidR="0081464F">
        <w:t>Lepenc river are summarized</w:t>
      </w:r>
      <w:r w:rsidR="009E733B">
        <w:t xml:space="preserve"> in </w:t>
      </w:r>
      <w:r w:rsidR="009E733B">
        <w:fldChar w:fldCharType="begin"/>
      </w:r>
      <w:r w:rsidR="009E733B">
        <w:instrText xml:space="preserve"> REF _Ref131166665 \h </w:instrText>
      </w:r>
      <w:r w:rsidR="009E733B">
        <w:fldChar w:fldCharType="separate"/>
      </w:r>
      <w:r w:rsidR="009E733B">
        <w:t xml:space="preserve">Table </w:t>
      </w:r>
      <w:r w:rsidR="009E733B">
        <w:rPr>
          <w:noProof/>
        </w:rPr>
        <w:t>1</w:t>
      </w:r>
      <w:r w:rsidR="009E733B">
        <w:fldChar w:fldCharType="end"/>
      </w:r>
      <w:r w:rsidR="006E77F0">
        <w:t xml:space="preserve"> and the average monthly flows at Firaja are presented in Table</w:t>
      </w:r>
      <w:r w:rsidR="00AF4ED8">
        <w:t xml:space="preserve"> 2</w:t>
      </w:r>
      <w:r w:rsidR="006E77F0">
        <w:t xml:space="preserve"> </w:t>
      </w:r>
    </w:p>
    <w:p w14:paraId="767A642F" w14:textId="266FCCB1" w:rsidR="009E733B" w:rsidRPr="004B4A86" w:rsidRDefault="009E733B" w:rsidP="009E733B">
      <w:pPr>
        <w:pStyle w:val="Caption"/>
        <w:keepNext/>
        <w:rPr>
          <w:rFonts w:ascii="Arial" w:hAnsi="Arial" w:cs="Arial"/>
        </w:rPr>
      </w:pPr>
      <w:bookmarkStart w:id="4" w:name="_Ref131166665"/>
      <w:r w:rsidRPr="004B4A86">
        <w:rPr>
          <w:rFonts w:ascii="Arial" w:hAnsi="Arial" w:cs="Arial"/>
        </w:rPr>
        <w:lastRenderedPageBreak/>
        <w:t xml:space="preserve">Table </w:t>
      </w:r>
      <w:r w:rsidRPr="004B4A86">
        <w:rPr>
          <w:rFonts w:ascii="Arial" w:hAnsi="Arial" w:cs="Arial"/>
        </w:rPr>
        <w:fldChar w:fldCharType="begin"/>
      </w:r>
      <w:r w:rsidRPr="004B4A86">
        <w:rPr>
          <w:rFonts w:ascii="Arial" w:hAnsi="Arial" w:cs="Arial"/>
        </w:rPr>
        <w:instrText xml:space="preserve"> SEQ Table \* ARABIC \s 1 </w:instrText>
      </w:r>
      <w:r w:rsidRPr="004B4A86">
        <w:rPr>
          <w:rFonts w:ascii="Arial" w:hAnsi="Arial" w:cs="Arial"/>
        </w:rPr>
        <w:fldChar w:fldCharType="separate"/>
      </w:r>
      <w:r w:rsidRPr="004B4A86">
        <w:rPr>
          <w:rFonts w:ascii="Arial" w:hAnsi="Arial" w:cs="Arial"/>
          <w:noProof/>
        </w:rPr>
        <w:t>1</w:t>
      </w:r>
      <w:r w:rsidRPr="004B4A86">
        <w:rPr>
          <w:rFonts w:ascii="Arial" w:hAnsi="Arial" w:cs="Arial"/>
          <w:noProof/>
        </w:rPr>
        <w:fldChar w:fldCharType="end"/>
      </w:r>
      <w:bookmarkEnd w:id="4"/>
      <w:r w:rsidRPr="004B4A86">
        <w:rPr>
          <w:rFonts w:ascii="Arial" w:hAnsi="Arial" w:cs="Arial"/>
        </w:rPr>
        <w:t xml:space="preserve"> - Characteristic Lepenc river flows</w:t>
      </w:r>
    </w:p>
    <w:tbl>
      <w:tblPr>
        <w:tblStyle w:val="TableGrid"/>
        <w:tblW w:w="0" w:type="auto"/>
        <w:tblLook w:val="04A0" w:firstRow="1" w:lastRow="0" w:firstColumn="1" w:lastColumn="0" w:noHBand="0" w:noVBand="1"/>
      </w:tblPr>
      <w:tblGrid>
        <w:gridCol w:w="2263"/>
        <w:gridCol w:w="1701"/>
        <w:gridCol w:w="1646"/>
        <w:gridCol w:w="1870"/>
        <w:gridCol w:w="1870"/>
      </w:tblGrid>
      <w:tr w:rsidR="0053463A" w14:paraId="41B820A3" w14:textId="77777777" w:rsidTr="00F543DD">
        <w:tc>
          <w:tcPr>
            <w:tcW w:w="2263" w:type="dxa"/>
            <w:shd w:val="clear" w:color="auto" w:fill="8D7258"/>
          </w:tcPr>
          <w:p w14:paraId="6689BDCB" w14:textId="23D8977A" w:rsidR="0053463A" w:rsidRPr="009D2009" w:rsidRDefault="009E733B" w:rsidP="00BF5833">
            <w:pPr>
              <w:pStyle w:val="BodyText"/>
              <w:rPr>
                <w:b/>
                <w:bCs/>
                <w:color w:val="FFFFFF" w:themeColor="background1"/>
              </w:rPr>
            </w:pPr>
            <w:r w:rsidRPr="009D2009">
              <w:rPr>
                <w:b/>
                <w:bCs/>
                <w:color w:val="FFFFFF" w:themeColor="background1"/>
              </w:rPr>
              <w:t>A</w:t>
            </w:r>
            <w:r w:rsidR="0053463A" w:rsidRPr="009D2009">
              <w:rPr>
                <w:b/>
                <w:bCs/>
                <w:color w:val="FFFFFF" w:themeColor="background1"/>
              </w:rPr>
              <w:t>verage annual flow</w:t>
            </w:r>
          </w:p>
        </w:tc>
        <w:tc>
          <w:tcPr>
            <w:tcW w:w="1701" w:type="dxa"/>
            <w:shd w:val="clear" w:color="auto" w:fill="8D7258"/>
          </w:tcPr>
          <w:p w14:paraId="4D42FCE5" w14:textId="25AEEDF7" w:rsidR="0053463A" w:rsidRPr="009D2009" w:rsidRDefault="0053463A" w:rsidP="009E733B">
            <w:pPr>
              <w:pStyle w:val="BodyText"/>
              <w:jc w:val="center"/>
              <w:rPr>
                <w:b/>
                <w:bCs/>
                <w:color w:val="FFFFFF" w:themeColor="background1"/>
              </w:rPr>
            </w:pPr>
            <w:r w:rsidRPr="009D2009">
              <w:rPr>
                <w:b/>
                <w:bCs/>
                <w:color w:val="FFFFFF" w:themeColor="background1"/>
              </w:rPr>
              <w:t>Hani I Elezit</w:t>
            </w:r>
          </w:p>
        </w:tc>
        <w:tc>
          <w:tcPr>
            <w:tcW w:w="1646" w:type="dxa"/>
            <w:shd w:val="clear" w:color="auto" w:fill="8D7258"/>
          </w:tcPr>
          <w:p w14:paraId="1DECC977" w14:textId="6FC485B9" w:rsidR="0053463A" w:rsidRPr="009D2009" w:rsidRDefault="0053463A" w:rsidP="009E733B">
            <w:pPr>
              <w:pStyle w:val="BodyText"/>
              <w:jc w:val="center"/>
              <w:rPr>
                <w:b/>
                <w:bCs/>
                <w:color w:val="FFFFFF" w:themeColor="background1"/>
              </w:rPr>
            </w:pPr>
            <w:r w:rsidRPr="009D2009">
              <w:rPr>
                <w:b/>
                <w:bCs/>
                <w:color w:val="FFFFFF" w:themeColor="background1"/>
              </w:rPr>
              <w:t>Brod</w:t>
            </w:r>
          </w:p>
        </w:tc>
        <w:tc>
          <w:tcPr>
            <w:tcW w:w="1870" w:type="dxa"/>
            <w:shd w:val="clear" w:color="auto" w:fill="8D7258"/>
          </w:tcPr>
          <w:p w14:paraId="1FF99FC4" w14:textId="0BF8104D" w:rsidR="0053463A" w:rsidRPr="009D2009" w:rsidRDefault="0053463A" w:rsidP="009E733B">
            <w:pPr>
              <w:pStyle w:val="BodyText"/>
              <w:jc w:val="center"/>
              <w:rPr>
                <w:b/>
                <w:bCs/>
                <w:color w:val="FFFFFF" w:themeColor="background1"/>
              </w:rPr>
            </w:pPr>
            <w:r w:rsidRPr="009D2009">
              <w:rPr>
                <w:b/>
                <w:bCs/>
                <w:color w:val="FFFFFF" w:themeColor="background1"/>
              </w:rPr>
              <w:t>Firaja (dam axis)</w:t>
            </w:r>
          </w:p>
        </w:tc>
        <w:tc>
          <w:tcPr>
            <w:tcW w:w="1870" w:type="dxa"/>
            <w:shd w:val="clear" w:color="auto" w:fill="8D7258"/>
          </w:tcPr>
          <w:p w14:paraId="4672EB42" w14:textId="11D700C6" w:rsidR="0053463A" w:rsidRPr="009D2009" w:rsidRDefault="0053463A" w:rsidP="009E733B">
            <w:pPr>
              <w:pStyle w:val="BodyText"/>
              <w:jc w:val="center"/>
              <w:rPr>
                <w:b/>
                <w:bCs/>
                <w:color w:val="FFFFFF" w:themeColor="background1"/>
              </w:rPr>
            </w:pPr>
            <w:r w:rsidRPr="009D2009">
              <w:rPr>
                <w:b/>
                <w:bCs/>
                <w:color w:val="FFFFFF" w:themeColor="background1"/>
              </w:rPr>
              <w:t>Kacanik (Nerodime river)</w:t>
            </w:r>
          </w:p>
        </w:tc>
      </w:tr>
      <w:tr w:rsidR="0053463A" w14:paraId="37EEF089" w14:textId="77777777" w:rsidTr="007B1F1B">
        <w:tc>
          <w:tcPr>
            <w:tcW w:w="2263" w:type="dxa"/>
            <w:shd w:val="clear" w:color="auto" w:fill="C2CED6"/>
          </w:tcPr>
          <w:p w14:paraId="4FC8E900" w14:textId="06DF90AA" w:rsidR="0053463A" w:rsidRPr="009E733B" w:rsidRDefault="0053463A" w:rsidP="009E733B">
            <w:pPr>
              <w:pStyle w:val="BodyText"/>
              <w:jc w:val="right"/>
              <w:rPr>
                <w:b/>
                <w:bCs/>
              </w:rPr>
            </w:pPr>
            <w:r w:rsidRPr="009E733B">
              <w:rPr>
                <w:b/>
                <w:bCs/>
              </w:rPr>
              <w:t>average year, Q</w:t>
            </w:r>
            <w:r w:rsidRPr="009E733B">
              <w:rPr>
                <w:b/>
                <w:bCs/>
                <w:vertAlign w:val="subscript"/>
              </w:rPr>
              <w:t>0</w:t>
            </w:r>
            <w:r w:rsidRPr="009E733B">
              <w:rPr>
                <w:b/>
                <w:bCs/>
              </w:rPr>
              <w:t>,</w:t>
            </w:r>
            <w:r w:rsidRPr="009E733B">
              <w:rPr>
                <w:b/>
                <w:bCs/>
                <w:vertAlign w:val="subscript"/>
              </w:rPr>
              <w:t>59%</w:t>
            </w:r>
          </w:p>
        </w:tc>
        <w:tc>
          <w:tcPr>
            <w:tcW w:w="1701" w:type="dxa"/>
            <w:shd w:val="clear" w:color="auto" w:fill="C2CED6"/>
          </w:tcPr>
          <w:p w14:paraId="699F9265" w14:textId="5B8BC07F" w:rsidR="0053463A" w:rsidRDefault="0053463A" w:rsidP="009E733B">
            <w:pPr>
              <w:pStyle w:val="BodyText"/>
              <w:jc w:val="center"/>
            </w:pPr>
            <w:r>
              <w:t>8.83 m</w:t>
            </w:r>
            <w:r>
              <w:rPr>
                <w:vertAlign w:val="superscript"/>
              </w:rPr>
              <w:t>3</w:t>
            </w:r>
            <w:r>
              <w:t>/s</w:t>
            </w:r>
          </w:p>
        </w:tc>
        <w:tc>
          <w:tcPr>
            <w:tcW w:w="1646" w:type="dxa"/>
            <w:shd w:val="clear" w:color="auto" w:fill="C2CED6"/>
          </w:tcPr>
          <w:p w14:paraId="29C00E06" w14:textId="0394B54C" w:rsidR="0053463A" w:rsidRDefault="0053463A" w:rsidP="009E733B">
            <w:pPr>
              <w:pStyle w:val="BodyText"/>
              <w:jc w:val="center"/>
            </w:pPr>
            <w:r>
              <w:t>5.04 m</w:t>
            </w:r>
            <w:r>
              <w:rPr>
                <w:vertAlign w:val="superscript"/>
              </w:rPr>
              <w:t>3</w:t>
            </w:r>
            <w:r>
              <w:t>/s</w:t>
            </w:r>
          </w:p>
        </w:tc>
        <w:tc>
          <w:tcPr>
            <w:tcW w:w="1870" w:type="dxa"/>
            <w:shd w:val="clear" w:color="auto" w:fill="C2CED6"/>
          </w:tcPr>
          <w:p w14:paraId="47E6D425" w14:textId="584F63D4" w:rsidR="0053463A" w:rsidRDefault="00901D4F" w:rsidP="009E733B">
            <w:pPr>
              <w:pStyle w:val="BodyText"/>
              <w:jc w:val="center"/>
            </w:pPr>
            <w:r>
              <w:t>4.37 m</w:t>
            </w:r>
            <w:r>
              <w:rPr>
                <w:vertAlign w:val="superscript"/>
              </w:rPr>
              <w:t>3</w:t>
            </w:r>
            <w:r>
              <w:t>/s</w:t>
            </w:r>
          </w:p>
        </w:tc>
        <w:tc>
          <w:tcPr>
            <w:tcW w:w="1870" w:type="dxa"/>
            <w:shd w:val="clear" w:color="auto" w:fill="C2CED6"/>
          </w:tcPr>
          <w:p w14:paraId="7D6572B8" w14:textId="56A5FAAE" w:rsidR="0053463A" w:rsidRDefault="00901D4F" w:rsidP="009E733B">
            <w:pPr>
              <w:pStyle w:val="BodyText"/>
              <w:jc w:val="center"/>
            </w:pPr>
            <w:r>
              <w:t>1.895 m</w:t>
            </w:r>
            <w:r>
              <w:rPr>
                <w:vertAlign w:val="superscript"/>
              </w:rPr>
              <w:t>3</w:t>
            </w:r>
            <w:r>
              <w:t>/s</w:t>
            </w:r>
          </w:p>
        </w:tc>
      </w:tr>
      <w:tr w:rsidR="0053463A" w14:paraId="0C7624A0" w14:textId="77777777" w:rsidTr="00901D4F">
        <w:tc>
          <w:tcPr>
            <w:tcW w:w="2263" w:type="dxa"/>
          </w:tcPr>
          <w:p w14:paraId="648E7CA0" w14:textId="41465E95" w:rsidR="0053463A" w:rsidRPr="009E733B" w:rsidRDefault="0053463A" w:rsidP="009E733B">
            <w:pPr>
              <w:pStyle w:val="BodyText"/>
              <w:jc w:val="right"/>
              <w:rPr>
                <w:b/>
                <w:bCs/>
              </w:rPr>
            </w:pPr>
            <w:r w:rsidRPr="009E733B">
              <w:rPr>
                <w:b/>
                <w:bCs/>
              </w:rPr>
              <w:t>dry year Q</w:t>
            </w:r>
            <w:r w:rsidRPr="009E733B">
              <w:rPr>
                <w:b/>
                <w:bCs/>
                <w:vertAlign w:val="subscript"/>
              </w:rPr>
              <w:t>0</w:t>
            </w:r>
            <w:r w:rsidRPr="009E733B">
              <w:rPr>
                <w:b/>
                <w:bCs/>
              </w:rPr>
              <w:t>,</w:t>
            </w:r>
            <w:r w:rsidRPr="009E733B">
              <w:rPr>
                <w:b/>
                <w:bCs/>
                <w:vertAlign w:val="subscript"/>
              </w:rPr>
              <w:t>75%</w:t>
            </w:r>
          </w:p>
        </w:tc>
        <w:tc>
          <w:tcPr>
            <w:tcW w:w="1701" w:type="dxa"/>
          </w:tcPr>
          <w:p w14:paraId="4950038E" w14:textId="01CE1F19" w:rsidR="0053463A" w:rsidRDefault="0053463A" w:rsidP="009E733B">
            <w:pPr>
              <w:pStyle w:val="BodyText"/>
              <w:jc w:val="center"/>
            </w:pPr>
            <w:r>
              <w:t>7.39 m</w:t>
            </w:r>
            <w:r>
              <w:rPr>
                <w:vertAlign w:val="superscript"/>
              </w:rPr>
              <w:t>3</w:t>
            </w:r>
            <w:r>
              <w:t>/s</w:t>
            </w:r>
          </w:p>
        </w:tc>
        <w:tc>
          <w:tcPr>
            <w:tcW w:w="1646" w:type="dxa"/>
          </w:tcPr>
          <w:p w14:paraId="1DA53AFA" w14:textId="0DB7DE4D" w:rsidR="0053463A" w:rsidRDefault="0053463A" w:rsidP="009E733B">
            <w:pPr>
              <w:pStyle w:val="BodyText"/>
              <w:jc w:val="center"/>
            </w:pPr>
            <w:r>
              <w:t>4.22 m</w:t>
            </w:r>
            <w:r>
              <w:rPr>
                <w:vertAlign w:val="superscript"/>
              </w:rPr>
              <w:t>3</w:t>
            </w:r>
            <w:r>
              <w:t>/s</w:t>
            </w:r>
          </w:p>
        </w:tc>
        <w:tc>
          <w:tcPr>
            <w:tcW w:w="1870" w:type="dxa"/>
          </w:tcPr>
          <w:p w14:paraId="66D43ADF" w14:textId="550F5F12" w:rsidR="0053463A" w:rsidRDefault="00901D4F" w:rsidP="009E733B">
            <w:pPr>
              <w:pStyle w:val="BodyText"/>
              <w:jc w:val="center"/>
            </w:pPr>
            <w:r>
              <w:t>3.66 m</w:t>
            </w:r>
            <w:r>
              <w:rPr>
                <w:vertAlign w:val="superscript"/>
              </w:rPr>
              <w:t>3</w:t>
            </w:r>
            <w:r>
              <w:t>/s</w:t>
            </w:r>
          </w:p>
        </w:tc>
        <w:tc>
          <w:tcPr>
            <w:tcW w:w="1870" w:type="dxa"/>
          </w:tcPr>
          <w:p w14:paraId="76E363BC" w14:textId="7C99F63B" w:rsidR="0053463A" w:rsidRDefault="00901D4F" w:rsidP="009E733B">
            <w:pPr>
              <w:pStyle w:val="BodyText"/>
              <w:jc w:val="center"/>
            </w:pPr>
            <w:r>
              <w:t>1.404 m</w:t>
            </w:r>
            <w:r>
              <w:rPr>
                <w:vertAlign w:val="superscript"/>
              </w:rPr>
              <w:t>3</w:t>
            </w:r>
            <w:r>
              <w:t>/s</w:t>
            </w:r>
          </w:p>
        </w:tc>
      </w:tr>
      <w:tr w:rsidR="0053463A" w14:paraId="18B847F4" w14:textId="77777777" w:rsidTr="00466FC2">
        <w:tc>
          <w:tcPr>
            <w:tcW w:w="2263" w:type="dxa"/>
            <w:shd w:val="clear" w:color="auto" w:fill="C2CED6"/>
          </w:tcPr>
          <w:p w14:paraId="2B67D562" w14:textId="77777777" w:rsidR="0053463A" w:rsidRDefault="0053463A" w:rsidP="00BF5833">
            <w:pPr>
              <w:pStyle w:val="BodyText"/>
            </w:pPr>
          </w:p>
        </w:tc>
        <w:tc>
          <w:tcPr>
            <w:tcW w:w="1701" w:type="dxa"/>
            <w:shd w:val="clear" w:color="auto" w:fill="C2CED6"/>
          </w:tcPr>
          <w:p w14:paraId="4971E07A" w14:textId="77777777" w:rsidR="0053463A" w:rsidRDefault="0053463A" w:rsidP="00BF5833">
            <w:pPr>
              <w:pStyle w:val="BodyText"/>
            </w:pPr>
          </w:p>
        </w:tc>
        <w:tc>
          <w:tcPr>
            <w:tcW w:w="1646" w:type="dxa"/>
            <w:shd w:val="clear" w:color="auto" w:fill="C2CED6"/>
          </w:tcPr>
          <w:p w14:paraId="30BD73ED" w14:textId="77777777" w:rsidR="0053463A" w:rsidRDefault="0053463A" w:rsidP="00BF5833">
            <w:pPr>
              <w:pStyle w:val="BodyText"/>
            </w:pPr>
          </w:p>
        </w:tc>
        <w:tc>
          <w:tcPr>
            <w:tcW w:w="1870" w:type="dxa"/>
            <w:shd w:val="clear" w:color="auto" w:fill="C2CED6"/>
          </w:tcPr>
          <w:p w14:paraId="6F150923" w14:textId="77777777" w:rsidR="0053463A" w:rsidRDefault="0053463A" w:rsidP="00BF5833">
            <w:pPr>
              <w:pStyle w:val="BodyText"/>
            </w:pPr>
          </w:p>
        </w:tc>
        <w:tc>
          <w:tcPr>
            <w:tcW w:w="1870" w:type="dxa"/>
            <w:shd w:val="clear" w:color="auto" w:fill="C2CED6"/>
          </w:tcPr>
          <w:p w14:paraId="150C6CD8" w14:textId="77777777" w:rsidR="0053463A" w:rsidRDefault="0053463A" w:rsidP="00BF5833">
            <w:pPr>
              <w:pStyle w:val="BodyText"/>
            </w:pPr>
          </w:p>
        </w:tc>
      </w:tr>
    </w:tbl>
    <w:p w14:paraId="07073C06" w14:textId="77777777" w:rsidR="0053463A" w:rsidRDefault="0053463A" w:rsidP="00BF5833">
      <w:pPr>
        <w:pStyle w:val="BodyText"/>
      </w:pPr>
    </w:p>
    <w:p w14:paraId="5DA81692" w14:textId="60139741" w:rsidR="00AF4ED8" w:rsidRPr="00AF4ED8" w:rsidRDefault="00AF4ED8" w:rsidP="00AF4ED8">
      <w:pPr>
        <w:spacing w:before="140" w:after="140" w:afterAutospacing="0" w:line="240" w:lineRule="atLeast"/>
        <w:ind w:left="1276" w:hanging="1276"/>
        <w:rPr>
          <w:rFonts w:ascii="Arial" w:eastAsia="Times New Roman" w:hAnsi="Arial" w:cs="Arial"/>
          <w:i/>
          <w:kern w:val="0"/>
          <w:sz w:val="18"/>
          <w:szCs w:val="20"/>
          <w:lang w:val="en-GB" w:eastAsia="da-DK"/>
          <w14:ligatures w14:val="none"/>
        </w:rPr>
      </w:pPr>
      <w:bookmarkStart w:id="5" w:name="_Toc103863983"/>
      <w:bookmarkStart w:id="6" w:name="_Toc104798933"/>
      <w:bookmarkStart w:id="7" w:name="_Toc104895417"/>
      <w:bookmarkStart w:id="8" w:name="_Toc104895518"/>
      <w:bookmarkStart w:id="9" w:name="_Toc110866014"/>
      <w:r w:rsidRPr="00AF4ED8">
        <w:rPr>
          <w:rFonts w:ascii="Arial" w:eastAsia="Times New Roman" w:hAnsi="Arial" w:cs="Arial"/>
          <w:i/>
          <w:kern w:val="0"/>
          <w:sz w:val="18"/>
          <w:lang w:val="en-GB" w:eastAsia="da-DK"/>
          <w14:ligatures w14:val="none"/>
        </w:rPr>
        <w:t xml:space="preserve">Table </w:t>
      </w:r>
      <w:r w:rsidRPr="00AF4ED8">
        <w:rPr>
          <w:rFonts w:ascii="Arial" w:eastAsia="Times New Roman" w:hAnsi="Arial" w:cs="Arial"/>
          <w:i/>
          <w:kern w:val="0"/>
          <w:sz w:val="18"/>
          <w:lang w:val="en-GB" w:eastAsia="da-DK"/>
          <w14:ligatures w14:val="none"/>
        </w:rPr>
        <w:fldChar w:fldCharType="begin"/>
      </w:r>
      <w:r w:rsidRPr="00AF4ED8">
        <w:rPr>
          <w:rFonts w:ascii="Arial" w:eastAsia="Times New Roman" w:hAnsi="Arial" w:cs="Arial"/>
          <w:i/>
          <w:kern w:val="0"/>
          <w:sz w:val="18"/>
          <w:lang w:val="en-GB" w:eastAsia="da-DK"/>
          <w14:ligatures w14:val="none"/>
        </w:rPr>
        <w:instrText xml:space="preserve"> SEQ Table \* ARABIC </w:instrText>
      </w:r>
      <w:r w:rsidRPr="00AF4ED8">
        <w:rPr>
          <w:rFonts w:ascii="Arial" w:eastAsia="Times New Roman" w:hAnsi="Arial" w:cs="Arial"/>
          <w:i/>
          <w:kern w:val="0"/>
          <w:sz w:val="18"/>
          <w:lang w:val="en-GB" w:eastAsia="da-DK"/>
          <w14:ligatures w14:val="none"/>
        </w:rPr>
        <w:fldChar w:fldCharType="separate"/>
      </w:r>
      <w:r w:rsidRPr="00AF4ED8">
        <w:rPr>
          <w:rFonts w:ascii="Arial" w:eastAsia="Times New Roman" w:hAnsi="Arial" w:cs="Arial"/>
          <w:i/>
          <w:noProof/>
          <w:kern w:val="0"/>
          <w:sz w:val="18"/>
          <w:lang w:val="en-GB" w:eastAsia="da-DK"/>
          <w14:ligatures w14:val="none"/>
        </w:rPr>
        <w:t>2</w:t>
      </w:r>
      <w:r w:rsidRPr="00AF4ED8">
        <w:rPr>
          <w:rFonts w:ascii="Arial" w:eastAsia="Times New Roman" w:hAnsi="Arial" w:cs="Arial"/>
          <w:i/>
          <w:kern w:val="0"/>
          <w:sz w:val="18"/>
          <w:lang w:val="en-GB" w:eastAsia="da-DK"/>
          <w14:ligatures w14:val="none"/>
        </w:rPr>
        <w:fldChar w:fldCharType="end"/>
      </w:r>
      <w:r w:rsidR="004B4A86">
        <w:rPr>
          <w:rFonts w:ascii="Arial" w:eastAsia="Times New Roman" w:hAnsi="Arial" w:cs="Arial"/>
          <w:i/>
          <w:kern w:val="0"/>
          <w:sz w:val="18"/>
          <w:lang w:val="en-GB" w:eastAsia="da-DK"/>
          <w14:ligatures w14:val="none"/>
        </w:rPr>
        <w:t xml:space="preserve"> - </w:t>
      </w:r>
      <w:r w:rsidRPr="00AF4ED8">
        <w:rPr>
          <w:rFonts w:ascii="Arial" w:eastAsia="Times New Roman" w:hAnsi="Arial" w:cs="Arial"/>
          <w:i/>
          <w:iCs/>
          <w:kern w:val="0"/>
          <w:sz w:val="18"/>
          <w:szCs w:val="20"/>
          <w:lang w:val="en-GB" w:eastAsia="da-DK"/>
          <w14:ligatures w14:val="none"/>
        </w:rPr>
        <w:t>Monthly annual flow rate at Lower Firaja (m³/s)</w:t>
      </w:r>
      <w:bookmarkEnd w:id="5"/>
      <w:bookmarkEnd w:id="6"/>
      <w:bookmarkEnd w:id="7"/>
      <w:bookmarkEnd w:id="8"/>
      <w:bookmarkEnd w:id="9"/>
    </w:p>
    <w:tbl>
      <w:tblPr>
        <w:tblStyle w:val="Usethisstyle"/>
        <w:tblW w:w="5006" w:type="pct"/>
        <w:tblInd w:w="-10" w:type="dxa"/>
        <w:tblLook w:val="04A0" w:firstRow="1" w:lastRow="0" w:firstColumn="1" w:lastColumn="0" w:noHBand="0" w:noVBand="1"/>
      </w:tblPr>
      <w:tblGrid>
        <w:gridCol w:w="942"/>
        <w:gridCol w:w="701"/>
        <w:gridCol w:w="701"/>
        <w:gridCol w:w="703"/>
        <w:gridCol w:w="701"/>
        <w:gridCol w:w="703"/>
        <w:gridCol w:w="701"/>
        <w:gridCol w:w="701"/>
        <w:gridCol w:w="703"/>
        <w:gridCol w:w="701"/>
        <w:gridCol w:w="703"/>
        <w:gridCol w:w="701"/>
        <w:gridCol w:w="710"/>
      </w:tblGrid>
      <w:tr w:rsidR="00AF4ED8" w:rsidRPr="00AF4ED8" w14:paraId="591D3C2B" w14:textId="77777777" w:rsidTr="00AF4ED8">
        <w:trPr>
          <w:cnfStyle w:val="100000000000" w:firstRow="1" w:lastRow="0" w:firstColumn="0" w:lastColumn="0" w:oddVBand="0" w:evenVBand="0" w:oddHBand="0" w:evenHBand="0" w:firstRowFirstColumn="0" w:firstRowLastColumn="0" w:lastRowFirstColumn="0" w:lastRowLastColumn="0"/>
          <w:trHeight w:val="123"/>
          <w:tblHeader/>
        </w:trPr>
        <w:tc>
          <w:tcPr>
            <w:tcW w:w="503" w:type="pct"/>
          </w:tcPr>
          <w:p w14:paraId="1476C565"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Months</w:t>
            </w:r>
          </w:p>
        </w:tc>
        <w:tc>
          <w:tcPr>
            <w:tcW w:w="374" w:type="pct"/>
          </w:tcPr>
          <w:p w14:paraId="2B7F6BD0"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J</w:t>
            </w:r>
          </w:p>
        </w:tc>
        <w:tc>
          <w:tcPr>
            <w:tcW w:w="374" w:type="pct"/>
          </w:tcPr>
          <w:p w14:paraId="5257E646"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F</w:t>
            </w:r>
          </w:p>
        </w:tc>
        <w:tc>
          <w:tcPr>
            <w:tcW w:w="375" w:type="pct"/>
          </w:tcPr>
          <w:p w14:paraId="1129F1DC"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M</w:t>
            </w:r>
          </w:p>
        </w:tc>
        <w:tc>
          <w:tcPr>
            <w:tcW w:w="374" w:type="pct"/>
          </w:tcPr>
          <w:p w14:paraId="11304404"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A</w:t>
            </w:r>
          </w:p>
        </w:tc>
        <w:tc>
          <w:tcPr>
            <w:tcW w:w="375" w:type="pct"/>
          </w:tcPr>
          <w:p w14:paraId="03ADFEAF"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M</w:t>
            </w:r>
          </w:p>
        </w:tc>
        <w:tc>
          <w:tcPr>
            <w:tcW w:w="374" w:type="pct"/>
          </w:tcPr>
          <w:p w14:paraId="45104003"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J</w:t>
            </w:r>
          </w:p>
        </w:tc>
        <w:tc>
          <w:tcPr>
            <w:tcW w:w="374" w:type="pct"/>
          </w:tcPr>
          <w:p w14:paraId="1B749506"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J</w:t>
            </w:r>
          </w:p>
        </w:tc>
        <w:tc>
          <w:tcPr>
            <w:tcW w:w="375" w:type="pct"/>
          </w:tcPr>
          <w:p w14:paraId="6285CA2A"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A</w:t>
            </w:r>
          </w:p>
        </w:tc>
        <w:tc>
          <w:tcPr>
            <w:tcW w:w="374" w:type="pct"/>
          </w:tcPr>
          <w:p w14:paraId="41A995EF"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S</w:t>
            </w:r>
          </w:p>
        </w:tc>
        <w:tc>
          <w:tcPr>
            <w:tcW w:w="375" w:type="pct"/>
          </w:tcPr>
          <w:p w14:paraId="21E9C226"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O</w:t>
            </w:r>
          </w:p>
        </w:tc>
        <w:tc>
          <w:tcPr>
            <w:tcW w:w="374" w:type="pct"/>
          </w:tcPr>
          <w:p w14:paraId="1FC9FADB"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N</w:t>
            </w:r>
          </w:p>
        </w:tc>
        <w:tc>
          <w:tcPr>
            <w:tcW w:w="379" w:type="pct"/>
          </w:tcPr>
          <w:p w14:paraId="22A96F3D" w14:textId="77777777" w:rsidR="00AF4ED8" w:rsidRPr="00AF4ED8" w:rsidRDefault="00AF4ED8" w:rsidP="00AF4ED8">
            <w:pPr>
              <w:spacing w:before="60" w:after="60"/>
              <w:rPr>
                <w:rFonts w:cs="Arial"/>
                <w:b/>
                <w:sz w:val="18"/>
                <w:szCs w:val="18"/>
                <w:lang w:val="en-GB"/>
              </w:rPr>
            </w:pPr>
            <w:r w:rsidRPr="00AF4ED8">
              <w:rPr>
                <w:rFonts w:cs="Arial"/>
                <w:b/>
                <w:sz w:val="18"/>
                <w:szCs w:val="18"/>
                <w:lang w:val="en-GB"/>
              </w:rPr>
              <w:t>D</w:t>
            </w:r>
          </w:p>
        </w:tc>
      </w:tr>
      <w:tr w:rsidR="00AF4ED8" w:rsidRPr="00AF4ED8" w14:paraId="2A0E2907" w14:textId="77777777" w:rsidTr="00AF4ED8">
        <w:trPr>
          <w:cnfStyle w:val="000000100000" w:firstRow="0" w:lastRow="0" w:firstColumn="0" w:lastColumn="0" w:oddVBand="0" w:evenVBand="0" w:oddHBand="1" w:evenHBand="0" w:firstRowFirstColumn="0" w:firstRowLastColumn="0" w:lastRowFirstColumn="0" w:lastRowLastColumn="0"/>
          <w:trHeight w:val="123"/>
        </w:trPr>
        <w:tc>
          <w:tcPr>
            <w:tcW w:w="503" w:type="pct"/>
          </w:tcPr>
          <w:p w14:paraId="519A22A0"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Q</w:t>
            </w:r>
            <w:r w:rsidRPr="00AF4ED8">
              <w:rPr>
                <w:rFonts w:cs="Arial"/>
                <w:sz w:val="16"/>
                <w:szCs w:val="16"/>
                <w:vertAlign w:val="subscript"/>
                <w:lang w:val="en-GB"/>
              </w:rPr>
              <w:t>o</w:t>
            </w:r>
            <w:r w:rsidRPr="00AF4ED8">
              <w:rPr>
                <w:rFonts w:cs="Arial"/>
                <w:sz w:val="16"/>
                <w:szCs w:val="16"/>
                <w:lang w:val="en-GB"/>
              </w:rPr>
              <w:t>(m³/s)</w:t>
            </w:r>
          </w:p>
        </w:tc>
        <w:tc>
          <w:tcPr>
            <w:tcW w:w="374" w:type="pct"/>
          </w:tcPr>
          <w:p w14:paraId="212F2846"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4.7</w:t>
            </w:r>
          </w:p>
        </w:tc>
        <w:tc>
          <w:tcPr>
            <w:tcW w:w="374" w:type="pct"/>
          </w:tcPr>
          <w:p w14:paraId="2928B83C"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4.8</w:t>
            </w:r>
          </w:p>
        </w:tc>
        <w:tc>
          <w:tcPr>
            <w:tcW w:w="375" w:type="pct"/>
          </w:tcPr>
          <w:p w14:paraId="1A308F1F"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5.8</w:t>
            </w:r>
          </w:p>
        </w:tc>
        <w:tc>
          <w:tcPr>
            <w:tcW w:w="374" w:type="pct"/>
          </w:tcPr>
          <w:p w14:paraId="53EF4A03"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7.0</w:t>
            </w:r>
          </w:p>
        </w:tc>
        <w:tc>
          <w:tcPr>
            <w:tcW w:w="375" w:type="pct"/>
          </w:tcPr>
          <w:p w14:paraId="1DF7464F"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10.3</w:t>
            </w:r>
          </w:p>
        </w:tc>
        <w:tc>
          <w:tcPr>
            <w:tcW w:w="374" w:type="pct"/>
          </w:tcPr>
          <w:p w14:paraId="325109C9"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7.1</w:t>
            </w:r>
          </w:p>
        </w:tc>
        <w:tc>
          <w:tcPr>
            <w:tcW w:w="374" w:type="pct"/>
          </w:tcPr>
          <w:p w14:paraId="69F129A0"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4.2</w:t>
            </w:r>
          </w:p>
        </w:tc>
        <w:tc>
          <w:tcPr>
            <w:tcW w:w="375" w:type="pct"/>
          </w:tcPr>
          <w:p w14:paraId="63D6D583"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2.5</w:t>
            </w:r>
          </w:p>
        </w:tc>
        <w:tc>
          <w:tcPr>
            <w:tcW w:w="374" w:type="pct"/>
          </w:tcPr>
          <w:p w14:paraId="43C9DC21"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2.7</w:t>
            </w:r>
          </w:p>
        </w:tc>
        <w:tc>
          <w:tcPr>
            <w:tcW w:w="375" w:type="pct"/>
          </w:tcPr>
          <w:p w14:paraId="320EBA27"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3.5</w:t>
            </w:r>
          </w:p>
        </w:tc>
        <w:tc>
          <w:tcPr>
            <w:tcW w:w="374" w:type="pct"/>
          </w:tcPr>
          <w:p w14:paraId="7A082DAD"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4.7</w:t>
            </w:r>
          </w:p>
        </w:tc>
        <w:tc>
          <w:tcPr>
            <w:tcW w:w="379" w:type="pct"/>
          </w:tcPr>
          <w:p w14:paraId="26CD38F0" w14:textId="77777777" w:rsidR="00AF4ED8" w:rsidRPr="00AF4ED8" w:rsidRDefault="00AF4ED8" w:rsidP="00AF4ED8">
            <w:pPr>
              <w:spacing w:before="60" w:after="60"/>
              <w:ind w:left="1276" w:hanging="1276"/>
              <w:jc w:val="both"/>
              <w:rPr>
                <w:rFonts w:cs="Arial"/>
                <w:sz w:val="16"/>
                <w:szCs w:val="16"/>
                <w:lang w:val="en-GB"/>
              </w:rPr>
            </w:pPr>
            <w:r w:rsidRPr="00AF4ED8">
              <w:rPr>
                <w:rFonts w:cs="Arial"/>
                <w:sz w:val="16"/>
                <w:szCs w:val="16"/>
                <w:lang w:val="en-GB"/>
              </w:rPr>
              <w:t>4.9</w:t>
            </w:r>
          </w:p>
        </w:tc>
      </w:tr>
    </w:tbl>
    <w:p w14:paraId="3B8205BE" w14:textId="77777777" w:rsidR="00AF4ED8" w:rsidRDefault="00AF4ED8" w:rsidP="00E72181">
      <w:pPr>
        <w:pStyle w:val="BodyText"/>
      </w:pPr>
    </w:p>
    <w:p w14:paraId="6828A3D9" w14:textId="6BBC8D34" w:rsidR="00C25E8A" w:rsidRDefault="00215362" w:rsidP="00E72181">
      <w:pPr>
        <w:pStyle w:val="BodyText"/>
      </w:pPr>
      <w:r>
        <w:t xml:space="preserve">The </w:t>
      </w:r>
      <w:r w:rsidR="00C25E8A">
        <w:t>ecological flow</w:t>
      </w:r>
      <w:r>
        <w:t xml:space="preserve"> following the Kosovo legislation </w:t>
      </w:r>
      <w:r w:rsidR="007864D5">
        <w:t>for Firaja dam axis will be</w:t>
      </w:r>
      <w:r w:rsidR="00C25E8A">
        <w:t>:</w:t>
      </w:r>
    </w:p>
    <w:p w14:paraId="23B8D7D3" w14:textId="77777777" w:rsidR="00C25E8A" w:rsidRDefault="00C25E8A" w:rsidP="00E72181">
      <w:pPr>
        <w:pStyle w:val="BodyText"/>
      </w:pPr>
      <w:bookmarkStart w:id="10" w:name="_Hlk127455806"/>
      <w:r>
        <w:t>Q</w:t>
      </w:r>
      <w:r>
        <w:rPr>
          <w:vertAlign w:val="subscript"/>
        </w:rPr>
        <w:t>ecol</w:t>
      </w:r>
      <w:r>
        <w:t xml:space="preserve"> = 0,52 m</w:t>
      </w:r>
      <w:r>
        <w:rPr>
          <w:vertAlign w:val="superscript"/>
        </w:rPr>
        <w:t>3</w:t>
      </w:r>
      <w:r>
        <w:t xml:space="preserve">/s for the period May – October </w:t>
      </w:r>
    </w:p>
    <w:bookmarkEnd w:id="10"/>
    <w:p w14:paraId="6D015E0C" w14:textId="35DCD640" w:rsidR="00C25E8A" w:rsidRDefault="00C25E8A" w:rsidP="00C25E8A">
      <w:pPr>
        <w:pStyle w:val="BodyText"/>
      </w:pPr>
      <w:r>
        <w:t>Q</w:t>
      </w:r>
      <w:r>
        <w:rPr>
          <w:vertAlign w:val="subscript"/>
        </w:rPr>
        <w:t>ecol</w:t>
      </w:r>
      <w:r>
        <w:t xml:space="preserve"> = 0,</w:t>
      </w:r>
      <w:r w:rsidR="00451BE4">
        <w:t>822</w:t>
      </w:r>
      <w:r>
        <w:t xml:space="preserve"> m</w:t>
      </w:r>
      <w:r>
        <w:rPr>
          <w:vertAlign w:val="superscript"/>
        </w:rPr>
        <w:t>3</w:t>
      </w:r>
      <w:r>
        <w:t xml:space="preserve">/s for the period </w:t>
      </w:r>
      <w:r w:rsidR="00451BE4">
        <w:t xml:space="preserve">November </w:t>
      </w:r>
      <w:r>
        <w:t xml:space="preserve">– </w:t>
      </w:r>
      <w:r w:rsidR="00451BE4">
        <w:t>April</w:t>
      </w:r>
      <w:r>
        <w:t xml:space="preserve"> </w:t>
      </w:r>
    </w:p>
    <w:p w14:paraId="6C9310B3" w14:textId="77777777" w:rsidR="00C00418" w:rsidRDefault="00C00418" w:rsidP="00E72181">
      <w:pPr>
        <w:pStyle w:val="BodyText"/>
      </w:pPr>
    </w:p>
    <w:p w14:paraId="654E336C" w14:textId="02D290D2" w:rsidR="00C00418" w:rsidRPr="003B1816" w:rsidRDefault="00C00418" w:rsidP="00E72181">
      <w:pPr>
        <w:pStyle w:val="BodyText"/>
        <w:rPr>
          <w:b/>
          <w:bCs/>
        </w:rPr>
      </w:pPr>
      <w:r w:rsidRPr="003B1816">
        <w:rPr>
          <w:b/>
          <w:bCs/>
        </w:rPr>
        <w:t xml:space="preserve">Potential Water Related </w:t>
      </w:r>
      <w:r w:rsidR="003B1816" w:rsidRPr="003B1816">
        <w:rPr>
          <w:b/>
          <w:bCs/>
        </w:rPr>
        <w:t xml:space="preserve">Trans-Boundary </w:t>
      </w:r>
      <w:r w:rsidRPr="003B1816">
        <w:rPr>
          <w:b/>
          <w:bCs/>
        </w:rPr>
        <w:t>Impacts</w:t>
      </w:r>
    </w:p>
    <w:p w14:paraId="228BB347" w14:textId="77777777" w:rsidR="003B1816" w:rsidRDefault="003B1816" w:rsidP="00E72181">
      <w:pPr>
        <w:pStyle w:val="BodyText"/>
      </w:pPr>
    </w:p>
    <w:p w14:paraId="05CF0438" w14:textId="0B67234A" w:rsidR="00A71119" w:rsidRDefault="00A71119" w:rsidP="00A71119">
      <w:pPr>
        <w:pStyle w:val="BodyText"/>
      </w:pPr>
      <w:r>
        <w:t>The Lepenc River flows beyond the territory of Kosovo, into North Macedonia, where it joins the River Vardar. This poses transbou</w:t>
      </w:r>
      <w:r w:rsidR="004739FA">
        <w:t>n</w:t>
      </w:r>
      <w:r>
        <w:t>dary issues that need to be resolved through active and open communication between Ministry of Environment of Kosovo and Ministry of Environment of Macedonia. Abstraction of water may bring about tension between residents of both countries. The diver</w:t>
      </w:r>
      <w:r w:rsidR="00E73E10">
        <w:t xml:space="preserve">sion of an estimated </w:t>
      </w:r>
      <w:r w:rsidR="003939AD">
        <w:t>31 Million m</w:t>
      </w:r>
      <w:r w:rsidR="003939AD" w:rsidRPr="00D83D70">
        <w:rPr>
          <w:vertAlign w:val="superscript"/>
        </w:rPr>
        <w:t>3</w:t>
      </w:r>
      <w:r w:rsidR="003939AD">
        <w:t xml:space="preserve"> </w:t>
      </w:r>
      <w:r>
        <w:t xml:space="preserve">/ year in Phase </w:t>
      </w:r>
      <w:r w:rsidR="003939AD">
        <w:t>1</w:t>
      </w:r>
      <w:r>
        <w:t xml:space="preserve"> </w:t>
      </w:r>
      <w:r w:rsidR="003939AD">
        <w:t>from</w:t>
      </w:r>
      <w:r>
        <w:t xml:space="preserve"> the current average annual flow of 290 million m</w:t>
      </w:r>
      <w:r w:rsidRPr="00D83D70">
        <w:rPr>
          <w:vertAlign w:val="superscript"/>
        </w:rPr>
        <w:t>3</w:t>
      </w:r>
      <w:r>
        <w:t xml:space="preserve"> into North Macedonia</w:t>
      </w:r>
      <w:r w:rsidR="003939AD">
        <w:t xml:space="preserve"> is unlikely </w:t>
      </w:r>
      <w:r w:rsidR="00284BBF">
        <w:t xml:space="preserve">to </w:t>
      </w:r>
      <w:r w:rsidR="003939AD">
        <w:t xml:space="preserve">have significant detrimental impact on the North Macedonian side </w:t>
      </w:r>
      <w:r>
        <w:t xml:space="preserve">. </w:t>
      </w:r>
    </w:p>
    <w:p w14:paraId="680E408B" w14:textId="77777777" w:rsidR="00A71119" w:rsidRDefault="00A71119" w:rsidP="00E72181">
      <w:pPr>
        <w:pStyle w:val="BodyText"/>
      </w:pPr>
    </w:p>
    <w:p w14:paraId="4CBB9695" w14:textId="43F90F56" w:rsidR="00E72181" w:rsidRDefault="00C00418" w:rsidP="00E72181">
      <w:pPr>
        <w:pStyle w:val="BodyText"/>
      </w:pPr>
      <w:r>
        <w:t xml:space="preserve">The flow in the Lepenc at Firaja contributes just under half of the trans-boundary flow into North Macedonia, just downstream of Hani I Elezit. </w:t>
      </w:r>
      <w:r w:rsidR="003B1816">
        <w:t xml:space="preserve">The overall reduction in the average annual flow is expected to be 13.5% of the dry year flow and </w:t>
      </w:r>
      <w:r w:rsidR="00593FF9">
        <w:t>11.3% of the flow in an average year. The ecological flow requirement means that trans-boundary flows in the driest months will not be reduced and may even benefit from the storage at the Firaja dam. The impact of the scheme on the 50% of the trans-boundary flow coming from the catchment upstream of the Firaja dam will be greatest in the Autumn, when the reservoir is refilling, then barely noticeable during Winter and Spring.</w:t>
      </w:r>
    </w:p>
    <w:p w14:paraId="74720C5E" w14:textId="77777777" w:rsidR="00CA536B" w:rsidRDefault="00CA536B" w:rsidP="00CA536B">
      <w:pPr>
        <w:pStyle w:val="BodyText"/>
      </w:pPr>
    </w:p>
    <w:p w14:paraId="36AA29B9" w14:textId="77777777" w:rsidR="00CA536B" w:rsidRPr="008D6B6C" w:rsidRDefault="00CA536B" w:rsidP="00CA536B">
      <w:pPr>
        <w:rPr>
          <w:i/>
          <w:iCs/>
        </w:rPr>
      </w:pPr>
      <w:r w:rsidRPr="008D6B6C">
        <w:rPr>
          <w:i/>
          <w:iCs/>
        </w:rPr>
        <w:t>Mitigation measures</w:t>
      </w:r>
    </w:p>
    <w:p w14:paraId="390F7BCB" w14:textId="14E35E1B" w:rsidR="00CA536B" w:rsidRDefault="003939AD" w:rsidP="003939AD">
      <w:pPr>
        <w:pStyle w:val="Bullet1"/>
        <w:numPr>
          <w:ilvl w:val="0"/>
          <w:numId w:val="4"/>
        </w:numPr>
      </w:pPr>
      <w:r>
        <w:t>Continuing o</w:t>
      </w:r>
      <w:r w:rsidR="00CA536B">
        <w:t xml:space="preserve">pen dialog </w:t>
      </w:r>
      <w:r>
        <w:t xml:space="preserve">commenced in October 2022 </w:t>
      </w:r>
      <w:r w:rsidR="00CA536B">
        <w:t>between Kosovo and North Macedonia about Kosovo</w:t>
      </w:r>
      <w:r>
        <w:t>’s</w:t>
      </w:r>
      <w:r w:rsidR="00CA536B">
        <w:t xml:space="preserve"> intention to construct the water supply scheme, providing information regarding this scheme and requesting the opinion/acceptance to the planned investments</w:t>
      </w:r>
    </w:p>
    <w:p w14:paraId="220CEF91" w14:textId="59654108" w:rsidR="00CA536B" w:rsidRDefault="00CA536B" w:rsidP="003939AD">
      <w:pPr>
        <w:pStyle w:val="Bullet1"/>
        <w:numPr>
          <w:ilvl w:val="0"/>
          <w:numId w:val="4"/>
        </w:numPr>
      </w:pPr>
      <w:r>
        <w:t>Further developing the cross-border dialog of municipalities supported by the EU within the IPA Cross-Border Cooperation Programme Montenegro-Kosovo 2014-2020</w:t>
      </w:r>
      <w:r>
        <w:rPr>
          <w:rStyle w:val="FootnoteReference"/>
        </w:rPr>
        <w:footnoteReference w:id="1"/>
      </w:r>
      <w:r>
        <w:t>.</w:t>
      </w:r>
    </w:p>
    <w:p w14:paraId="654F58D4" w14:textId="7BBEBB81" w:rsidR="00CA536B" w:rsidRDefault="003939AD" w:rsidP="003939AD">
      <w:pPr>
        <w:pStyle w:val="Bullet1"/>
        <w:numPr>
          <w:ilvl w:val="0"/>
          <w:numId w:val="4"/>
        </w:numPr>
      </w:pPr>
      <w:r>
        <w:lastRenderedPageBreak/>
        <w:t>Putting in place r</w:t>
      </w:r>
      <w:r w:rsidR="00CA536B">
        <w:t>easonable mechanism</w:t>
      </w:r>
      <w:r>
        <w:t>s</w:t>
      </w:r>
      <w:r w:rsidR="00CA536B">
        <w:t xml:space="preserve"> to ensure that the project will not compromise the quality and quantity of water available for consumers </w:t>
      </w:r>
      <w:r>
        <w:t>downstream.</w:t>
      </w:r>
    </w:p>
    <w:p w14:paraId="5DAD2E57" w14:textId="77777777" w:rsidR="00CA536B" w:rsidRDefault="00CA536B" w:rsidP="00E72181">
      <w:pPr>
        <w:pStyle w:val="BodyText"/>
      </w:pPr>
    </w:p>
    <w:sectPr w:rsidR="00CA5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626E" w14:textId="77777777" w:rsidR="002530FB" w:rsidRDefault="002530FB" w:rsidP="00CA536B">
      <w:r>
        <w:separator/>
      </w:r>
    </w:p>
  </w:endnote>
  <w:endnote w:type="continuationSeparator" w:id="0">
    <w:p w14:paraId="334956D3" w14:textId="77777777" w:rsidR="002530FB" w:rsidRDefault="002530FB" w:rsidP="00CA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C0E7" w14:textId="77777777" w:rsidR="002530FB" w:rsidRDefault="002530FB" w:rsidP="00CA536B">
      <w:r>
        <w:separator/>
      </w:r>
    </w:p>
  </w:footnote>
  <w:footnote w:type="continuationSeparator" w:id="0">
    <w:p w14:paraId="3F9C0AB7" w14:textId="77777777" w:rsidR="002530FB" w:rsidRDefault="002530FB" w:rsidP="00CA536B">
      <w:r>
        <w:continuationSeparator/>
      </w:r>
    </w:p>
  </w:footnote>
  <w:footnote w:id="1">
    <w:p w14:paraId="622C34F1" w14:textId="77777777" w:rsidR="00CA536B" w:rsidRPr="001A2F05" w:rsidRDefault="00CA536B" w:rsidP="00CA536B">
      <w:pPr>
        <w:pStyle w:val="FootnoteText"/>
        <w:rPr>
          <w:sz w:val="14"/>
          <w:szCs w:val="14"/>
          <w:lang w:val="da-DK"/>
        </w:rPr>
      </w:pPr>
      <w:r>
        <w:rPr>
          <w:rStyle w:val="FootnoteReference"/>
        </w:rPr>
        <w:footnoteRef/>
      </w:r>
      <w:r>
        <w:t xml:space="preserve"> </w:t>
      </w:r>
      <w:hyperlink r:id="rId1" w:history="1">
        <w:r w:rsidRPr="001A2F05">
          <w:rPr>
            <w:rStyle w:val="Hyperlink"/>
            <w:sz w:val="14"/>
            <w:szCs w:val="14"/>
          </w:rPr>
          <w:t>https://cbc-mne-kos.org/contact-us-3/</w:t>
        </w:r>
      </w:hyperlink>
      <w:r w:rsidRPr="001A2F05">
        <w:rPr>
          <w:rStyle w:val="Hyperlink"/>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11E4"/>
    <w:multiLevelType w:val="multilevel"/>
    <w:tmpl w:val="EE1E9A24"/>
    <w:lvl w:ilvl="0">
      <w:start w:val="1"/>
      <w:numFmt w:val="bullet"/>
      <w:lvlText w:val=""/>
      <w:lvlJc w:val="left"/>
      <w:pPr>
        <w:ind w:left="360" w:hanging="360"/>
      </w:pPr>
      <w:rPr>
        <w:rFonts w:ascii="Symbol" w:hAnsi="Symbol" w:hint="default"/>
        <w:color w:val="5B9BD5" w:themeColor="accent5"/>
      </w:rPr>
    </w:lvl>
    <w:lvl w:ilvl="1">
      <w:start w:val="1"/>
      <w:numFmt w:val="bullet"/>
      <w:lvlText w:val="›"/>
      <w:lvlJc w:val="left"/>
      <w:pPr>
        <w:tabs>
          <w:tab w:val="num" w:pos="851"/>
        </w:tabs>
        <w:ind w:left="851" w:hanging="426"/>
      </w:pPr>
      <w:rPr>
        <w:rFonts w:hint="default"/>
        <w:color w:val="F04E23"/>
        <w:position w:val="0"/>
        <w:sz w:val="24"/>
      </w:rPr>
    </w:lvl>
    <w:lvl w:ilvl="2">
      <w:start w:val="1"/>
      <w:numFmt w:val="bullet"/>
      <w:lvlText w:val="›"/>
      <w:lvlJc w:val="left"/>
      <w:pPr>
        <w:tabs>
          <w:tab w:val="num" w:pos="1276"/>
        </w:tabs>
        <w:ind w:left="1276" w:hanging="425"/>
      </w:pPr>
      <w:rPr>
        <w:rFonts w:hint="default"/>
        <w:color w:val="333333"/>
        <w:position w:val="0"/>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38C7661A"/>
    <w:multiLevelType w:val="hybridMultilevel"/>
    <w:tmpl w:val="D2606374"/>
    <w:lvl w:ilvl="0" w:tplc="31B4154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BA7A74"/>
    <w:multiLevelType w:val="hybridMultilevel"/>
    <w:tmpl w:val="12B297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F36DD1"/>
    <w:multiLevelType w:val="hybridMultilevel"/>
    <w:tmpl w:val="54BAB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14"/>
    <w:rsid w:val="000316CC"/>
    <w:rsid w:val="000611BF"/>
    <w:rsid w:val="00063751"/>
    <w:rsid w:val="001F6514"/>
    <w:rsid w:val="00215362"/>
    <w:rsid w:val="0025133D"/>
    <w:rsid w:val="002530FB"/>
    <w:rsid w:val="002726FA"/>
    <w:rsid w:val="00272EC7"/>
    <w:rsid w:val="00284BBF"/>
    <w:rsid w:val="00297D84"/>
    <w:rsid w:val="002F2214"/>
    <w:rsid w:val="003939AD"/>
    <w:rsid w:val="003B1816"/>
    <w:rsid w:val="003D074D"/>
    <w:rsid w:val="00451BE4"/>
    <w:rsid w:val="00466FC2"/>
    <w:rsid w:val="004739FA"/>
    <w:rsid w:val="00482FA4"/>
    <w:rsid w:val="004B4A86"/>
    <w:rsid w:val="004B6D07"/>
    <w:rsid w:val="004E3A8F"/>
    <w:rsid w:val="00515311"/>
    <w:rsid w:val="0053463A"/>
    <w:rsid w:val="005677A5"/>
    <w:rsid w:val="00593FF9"/>
    <w:rsid w:val="00615B53"/>
    <w:rsid w:val="00650B31"/>
    <w:rsid w:val="006E77F0"/>
    <w:rsid w:val="00762127"/>
    <w:rsid w:val="007864D5"/>
    <w:rsid w:val="007B1F1B"/>
    <w:rsid w:val="007D61DA"/>
    <w:rsid w:val="0081464F"/>
    <w:rsid w:val="00816325"/>
    <w:rsid w:val="00901D4F"/>
    <w:rsid w:val="00906869"/>
    <w:rsid w:val="00910DF0"/>
    <w:rsid w:val="009D2009"/>
    <w:rsid w:val="009E733B"/>
    <w:rsid w:val="00A17D2D"/>
    <w:rsid w:val="00A63F9F"/>
    <w:rsid w:val="00A71119"/>
    <w:rsid w:val="00AF4ED8"/>
    <w:rsid w:val="00B17228"/>
    <w:rsid w:val="00B7394C"/>
    <w:rsid w:val="00B74298"/>
    <w:rsid w:val="00BC6AEF"/>
    <w:rsid w:val="00BF5833"/>
    <w:rsid w:val="00C00418"/>
    <w:rsid w:val="00C25E8A"/>
    <w:rsid w:val="00C55EEA"/>
    <w:rsid w:val="00C628AD"/>
    <w:rsid w:val="00CA536B"/>
    <w:rsid w:val="00CF2F77"/>
    <w:rsid w:val="00D078F1"/>
    <w:rsid w:val="00E47389"/>
    <w:rsid w:val="00E6519E"/>
    <w:rsid w:val="00E72181"/>
    <w:rsid w:val="00E73E10"/>
    <w:rsid w:val="00EC0010"/>
    <w:rsid w:val="00F5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BBA3"/>
  <w15:docId w15:val="{DDF9C784-316A-4D97-A6AA-2BC1B0D5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2214"/>
    <w:pPr>
      <w:spacing w:afterAutospacing="0" w:line="280" w:lineRule="atLeast"/>
    </w:pPr>
    <w:rPr>
      <w:rFonts w:ascii="Arial" w:eastAsia="Times New Roman" w:hAnsi="Arial" w:cs="Arial"/>
      <w:kern w:val="0"/>
      <w:sz w:val="20"/>
      <w:szCs w:val="20"/>
      <w:lang w:val="en-GB" w:eastAsia="da-DK"/>
      <w14:ligatures w14:val="none"/>
    </w:rPr>
  </w:style>
  <w:style w:type="character" w:customStyle="1" w:styleId="BodyTextChar">
    <w:name w:val="Body Text Char"/>
    <w:basedOn w:val="DefaultParagraphFont"/>
    <w:link w:val="BodyText"/>
    <w:rsid w:val="002F2214"/>
    <w:rPr>
      <w:rFonts w:ascii="Arial" w:eastAsia="Times New Roman" w:hAnsi="Arial" w:cs="Arial"/>
      <w:kern w:val="0"/>
      <w:sz w:val="20"/>
      <w:szCs w:val="20"/>
      <w:lang w:val="en-GB" w:eastAsia="da-DK"/>
      <w14:ligatures w14:val="none"/>
    </w:rPr>
  </w:style>
  <w:style w:type="paragraph" w:styleId="NormalWeb">
    <w:name w:val="Normal (Web)"/>
    <w:basedOn w:val="Normal"/>
    <w:uiPriority w:val="99"/>
    <w:semiHidden/>
    <w:unhideWhenUsed/>
    <w:rsid w:val="00BC6AEF"/>
    <w:rPr>
      <w:rFonts w:ascii="Times New Roman" w:hAnsi="Times New Roman" w:cs="Times New Roman"/>
      <w:sz w:val="24"/>
      <w:szCs w:val="24"/>
    </w:rPr>
  </w:style>
  <w:style w:type="table" w:styleId="TableGrid">
    <w:name w:val="Table Grid"/>
    <w:basedOn w:val="TableNormal"/>
    <w:uiPriority w:val="39"/>
    <w:rsid w:val="005346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733B"/>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A536B"/>
    <w:rPr>
      <w:rFonts w:ascii="Tahoma" w:hAnsi="Tahoma" w:cs="Tahoma"/>
      <w:sz w:val="16"/>
      <w:szCs w:val="16"/>
    </w:rPr>
  </w:style>
  <w:style w:type="character" w:customStyle="1" w:styleId="BalloonTextChar">
    <w:name w:val="Balloon Text Char"/>
    <w:basedOn w:val="DefaultParagraphFont"/>
    <w:link w:val="BalloonText"/>
    <w:uiPriority w:val="99"/>
    <w:semiHidden/>
    <w:rsid w:val="00CA536B"/>
    <w:rPr>
      <w:rFonts w:ascii="Tahoma" w:hAnsi="Tahoma" w:cs="Tahoma"/>
      <w:sz w:val="16"/>
      <w:szCs w:val="16"/>
    </w:rPr>
  </w:style>
  <w:style w:type="paragraph" w:styleId="FootnoteText">
    <w:name w:val="footnote text"/>
    <w:aliases w:val="Nbpage Moens,Char4,Footnote Text Char Char Char,Footnote Text Char Char,Footnote Text Char1,Footnote Text Char Char1,Footnote Text Char1 Char Char,Footnote Text Char Char1 Char Char,Footnote Text Char Char Char Char Char Char,Char41,fn,ft"/>
    <w:basedOn w:val="Normal"/>
    <w:link w:val="FootnoteTextChar"/>
    <w:uiPriority w:val="99"/>
    <w:qFormat/>
    <w:rsid w:val="00CA536B"/>
    <w:pPr>
      <w:spacing w:afterAutospacing="0" w:line="280" w:lineRule="atLeast"/>
    </w:pPr>
    <w:rPr>
      <w:rFonts w:ascii="Arial" w:eastAsia="Times New Roman" w:hAnsi="Arial" w:cs="Arial"/>
      <w:kern w:val="0"/>
      <w:sz w:val="20"/>
      <w:szCs w:val="20"/>
      <w:lang w:val="en-GB" w:eastAsia="da-DK"/>
      <w14:ligatures w14:val="none"/>
    </w:rPr>
  </w:style>
  <w:style w:type="character" w:customStyle="1" w:styleId="FootnoteTextChar">
    <w:name w:val="Footnote Text Char"/>
    <w:aliases w:val="Nbpage Moens Char,Char4 Char,Footnote Text Char Char Char Char,Footnote Text Char Char Char1,Footnote Text Char1 Char,Footnote Text Char Char1 Char,Footnote Text Char1 Char Char Char,Footnote Text Char Char1 Char Char Char,Char41 Char"/>
    <w:basedOn w:val="DefaultParagraphFont"/>
    <w:link w:val="FootnoteText"/>
    <w:uiPriority w:val="99"/>
    <w:rsid w:val="00CA536B"/>
    <w:rPr>
      <w:rFonts w:ascii="Arial" w:eastAsia="Times New Roman" w:hAnsi="Arial" w:cs="Arial"/>
      <w:kern w:val="0"/>
      <w:sz w:val="20"/>
      <w:szCs w:val="20"/>
      <w:lang w:val="en-GB" w:eastAsia="da-DK"/>
      <w14:ligatures w14:val="none"/>
    </w:rPr>
  </w:style>
  <w:style w:type="character" w:styleId="Hyperlink">
    <w:name w:val="Hyperlink"/>
    <w:basedOn w:val="DefaultParagraphFont"/>
    <w:uiPriority w:val="99"/>
    <w:unhideWhenUsed/>
    <w:rsid w:val="00CA536B"/>
    <w:rPr>
      <w:rFonts w:ascii="Arial" w:hAnsi="Arial"/>
      <w:b w:val="0"/>
      <w:i w:val="0"/>
      <w:color w:val="0000FF"/>
      <w:u w:val="none"/>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
    <w:basedOn w:val="DefaultParagraphFont"/>
    <w:link w:val="CarattereCarattereCharCharCharCharCharCharZchn"/>
    <w:uiPriority w:val="99"/>
    <w:qFormat/>
    <w:rsid w:val="00CA536B"/>
    <w:rPr>
      <w:vertAlign w:val="superscript"/>
    </w:rPr>
  </w:style>
  <w:style w:type="paragraph" w:customStyle="1" w:styleId="ListBullet1">
    <w:name w:val="List Bullet 1"/>
    <w:basedOn w:val="ListBullet"/>
    <w:uiPriority w:val="7"/>
    <w:rsid w:val="00CA536B"/>
    <w:pPr>
      <w:spacing w:after="270" w:afterAutospacing="0" w:line="270" w:lineRule="atLeast"/>
      <w:contextualSpacing w:val="0"/>
      <w:jc w:val="both"/>
    </w:pPr>
    <w:rPr>
      <w:rFonts w:ascii="Arial" w:eastAsia="Times New Roman" w:hAnsi="Arial" w:cs="Arial"/>
      <w:color w:val="000000"/>
      <w:kern w:val="0"/>
      <w:sz w:val="20"/>
      <w:lang w:val="en-GB" w:eastAsia="da-DK"/>
      <w14:ligatures w14:val="none"/>
    </w:rPr>
  </w:style>
  <w:style w:type="paragraph" w:customStyle="1" w:styleId="Bullet1">
    <w:name w:val="Bullet 1"/>
    <w:basedOn w:val="ListBullet1"/>
    <w:autoRedefine/>
    <w:uiPriority w:val="7"/>
    <w:qFormat/>
    <w:rsid w:val="00CA536B"/>
    <w:pPr>
      <w:spacing w:after="120"/>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CA536B"/>
    <w:pPr>
      <w:spacing w:after="160" w:afterAutospacing="0" w:line="240" w:lineRule="exact"/>
    </w:pPr>
    <w:rPr>
      <w:vertAlign w:val="superscript"/>
    </w:rPr>
  </w:style>
  <w:style w:type="paragraph" w:styleId="ListBullet">
    <w:name w:val="List Bullet"/>
    <w:basedOn w:val="Normal"/>
    <w:uiPriority w:val="99"/>
    <w:semiHidden/>
    <w:unhideWhenUsed/>
    <w:rsid w:val="00CA536B"/>
    <w:pPr>
      <w:ind w:left="360" w:hanging="360"/>
      <w:contextualSpacing/>
    </w:pPr>
  </w:style>
  <w:style w:type="table" w:customStyle="1" w:styleId="Usethisstyle">
    <w:name w:val="Use this style"/>
    <w:basedOn w:val="TableNormal"/>
    <w:uiPriority w:val="99"/>
    <w:rsid w:val="00AF4ED8"/>
    <w:pPr>
      <w:spacing w:after="0" w:afterAutospacing="0"/>
    </w:pPr>
    <w:rPr>
      <w:rFonts w:ascii="Arial" w:eastAsia="Times New Roman" w:hAnsi="Arial" w:cs="Times New Roman"/>
      <w:kern w:val="0"/>
      <w:sz w:val="20"/>
      <w:szCs w:val="20"/>
      <w:lang w:val="da-DK" w:eastAsia="da-DK"/>
      <w14:ligatures w14:val="none"/>
    </w:rPr>
    <w:tblPr>
      <w:tblStyleRowBandSize w:val="1"/>
    </w:tblPr>
    <w:tblStylePr w:type="firstRow">
      <w:rPr>
        <w:rFonts w:ascii="Arial" w:hAnsi="Arial"/>
        <w:color w:val="FFFFFF"/>
      </w:rPr>
      <w:tblPr/>
      <w:tcPr>
        <w:tcBorders>
          <w:top w:val="single" w:sz="4" w:space="0" w:color="53443B"/>
          <w:left w:val="single" w:sz="4" w:space="0" w:color="53443B"/>
          <w:bottom w:val="single" w:sz="4" w:space="0" w:color="53443B"/>
          <w:right w:val="single" w:sz="4" w:space="0" w:color="53443B"/>
          <w:insideH w:val="single" w:sz="4" w:space="0" w:color="53443B"/>
          <w:insideV w:val="single" w:sz="4" w:space="0" w:color="53443B"/>
        </w:tcBorders>
        <w:shd w:val="clear" w:color="auto" w:fill="8D7258"/>
      </w:tcPr>
    </w:tblStylePr>
    <w:tblStylePr w:type="band1Horz">
      <w:rPr>
        <w:rFonts w:ascii="Arial" w:hAnsi="Arial"/>
      </w:rPr>
      <w:tblPr/>
      <w:tcPr>
        <w:tcBorders>
          <w:top w:val="single" w:sz="4" w:space="0" w:color="9AAEBC"/>
          <w:left w:val="single" w:sz="4" w:space="0" w:color="9AAEBC"/>
          <w:bottom w:val="single" w:sz="4" w:space="0" w:color="9AAEBC"/>
          <w:right w:val="single" w:sz="4" w:space="0" w:color="9AAEBC"/>
          <w:insideH w:val="single" w:sz="4" w:space="0" w:color="9AAEBC"/>
          <w:insideV w:val="single" w:sz="4" w:space="0" w:color="9AAEBC"/>
        </w:tcBorders>
        <w:shd w:val="clear" w:color="auto" w:fill="C2CED6"/>
      </w:tcPr>
    </w:tblStylePr>
    <w:tblStylePr w:type="band2Horz">
      <w:rPr>
        <w:rFonts w:ascii="Arial" w:hAnsi="Arial"/>
      </w:rPr>
      <w:tblPr/>
      <w:tcPr>
        <w:tcBorders>
          <w:top w:val="single" w:sz="4" w:space="0" w:color="9AAEBC"/>
          <w:left w:val="single" w:sz="4" w:space="0" w:color="9AAEBC"/>
          <w:bottom w:val="single" w:sz="4" w:space="0" w:color="9AAEBC"/>
          <w:right w:val="single" w:sz="4" w:space="0" w:color="9AAEBC"/>
          <w:insideH w:val="single" w:sz="4" w:space="0" w:color="9AAEBC"/>
          <w:insideV w:val="single" w:sz="4" w:space="0" w:color="9AAEBC"/>
        </w:tcBorders>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87023">
      <w:bodyDiv w:val="1"/>
      <w:marLeft w:val="0"/>
      <w:marRight w:val="0"/>
      <w:marTop w:val="0"/>
      <w:marBottom w:val="0"/>
      <w:divBdr>
        <w:top w:val="none" w:sz="0" w:space="0" w:color="auto"/>
        <w:left w:val="none" w:sz="0" w:space="0" w:color="auto"/>
        <w:bottom w:val="none" w:sz="0" w:space="0" w:color="auto"/>
        <w:right w:val="none" w:sz="0" w:space="0" w:color="auto"/>
      </w:divBdr>
      <w:divsChild>
        <w:div w:id="1783767051">
          <w:marLeft w:val="0"/>
          <w:marRight w:val="0"/>
          <w:marTop w:val="0"/>
          <w:marBottom w:val="0"/>
          <w:divBdr>
            <w:top w:val="none" w:sz="0" w:space="0" w:color="auto"/>
            <w:left w:val="none" w:sz="0" w:space="0" w:color="auto"/>
            <w:bottom w:val="none" w:sz="0" w:space="0" w:color="auto"/>
            <w:right w:val="none" w:sz="0" w:space="0" w:color="auto"/>
          </w:divBdr>
          <w:divsChild>
            <w:div w:id="1145969568">
              <w:marLeft w:val="0"/>
              <w:marRight w:val="0"/>
              <w:marTop w:val="0"/>
              <w:marBottom w:val="0"/>
              <w:divBdr>
                <w:top w:val="none" w:sz="0" w:space="0" w:color="auto"/>
                <w:left w:val="none" w:sz="0" w:space="0" w:color="auto"/>
                <w:bottom w:val="none" w:sz="0" w:space="0" w:color="auto"/>
                <w:right w:val="none" w:sz="0" w:space="0" w:color="auto"/>
              </w:divBdr>
              <w:divsChild>
                <w:div w:id="12785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bc-mne-kos.org/contact-u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875F-44D5-47BC-8FD7-C328C6F8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Maho</dc:creator>
  <cp:lastModifiedBy>Vladimir Stavric</cp:lastModifiedBy>
  <cp:revision>2</cp:revision>
  <dcterms:created xsi:type="dcterms:W3CDTF">2023-12-11T08:40:00Z</dcterms:created>
  <dcterms:modified xsi:type="dcterms:W3CDTF">2023-12-11T08:40:00Z</dcterms:modified>
</cp:coreProperties>
</file>