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EFDF" w14:textId="1A20DFFB" w:rsidR="002A2B0C" w:rsidRPr="0002442F" w:rsidRDefault="002A2B0C" w:rsidP="002A2B0C">
      <w:pPr>
        <w:jc w:val="both"/>
        <w:rPr>
          <w:rFonts w:ascii="StobiSerif Regular" w:hAnsi="StobiSerif Regular"/>
          <w:lang w:val="sq-AL"/>
        </w:rPr>
      </w:pPr>
      <w:r w:rsidRPr="0002442F">
        <w:rPr>
          <w:rFonts w:ascii="StobiSerif Regular" w:hAnsi="StobiSerif Regular"/>
          <w:lang w:val="sq-AL"/>
        </w:rPr>
        <w:t>Врз основа на член 79 став (5) од Законот за управување со отпад („Службен весник на Република Северна Македонија“ бр.</w:t>
      </w:r>
      <w:r w:rsidR="008F77D9" w:rsidRPr="0002442F">
        <w:rPr>
          <w:rFonts w:ascii="StobiSerif Regular" w:hAnsi="StobiSerif Regular"/>
          <w:lang w:val="sq-AL"/>
        </w:rPr>
        <w:t>216</w:t>
      </w:r>
      <w:r w:rsidRPr="0002442F">
        <w:rPr>
          <w:rFonts w:ascii="StobiSerif Regular" w:hAnsi="StobiSerif Regular"/>
          <w:lang w:val="sq-AL"/>
        </w:rPr>
        <w:t>/21), министерот за животина средина и просторно планирање,  донесе</w:t>
      </w:r>
    </w:p>
    <w:p w14:paraId="1DB818E7" w14:textId="77777777" w:rsidR="002A2B0C" w:rsidRPr="0002442F" w:rsidRDefault="002A2B0C" w:rsidP="000E7458">
      <w:pPr>
        <w:jc w:val="center"/>
        <w:rPr>
          <w:rFonts w:ascii="StobiSerif Regular" w:hAnsi="StobiSerif Regular"/>
          <w:lang w:val="sq-AL"/>
        </w:rPr>
      </w:pPr>
    </w:p>
    <w:p w14:paraId="03D867ED" w14:textId="77777777" w:rsidR="00A765B8" w:rsidRPr="0002442F" w:rsidRDefault="005A42A5" w:rsidP="0035104F">
      <w:pPr>
        <w:spacing w:after="0"/>
        <w:jc w:val="center"/>
        <w:rPr>
          <w:rFonts w:ascii="StobiSerif Regular" w:hAnsi="StobiSerif Regular"/>
          <w:b/>
          <w:lang w:val="sq-AL"/>
        </w:rPr>
      </w:pPr>
      <w:r w:rsidRPr="0002442F">
        <w:rPr>
          <w:rFonts w:ascii="StobiSerif Regular" w:hAnsi="StobiSerif Regular"/>
          <w:b/>
          <w:lang w:val="sq-AL"/>
        </w:rPr>
        <w:t xml:space="preserve">ПРАВИЛНИК ЗА КОЛИЧЕСТВОТО НА БИОРАЗГРАДЛИВИ СОСТОЈКИ </w:t>
      </w:r>
    </w:p>
    <w:p w14:paraId="3501098E" w14:textId="26C837B9" w:rsidR="00A765B8" w:rsidRDefault="005A42A5" w:rsidP="0035104F">
      <w:pPr>
        <w:spacing w:after="0"/>
        <w:jc w:val="center"/>
        <w:rPr>
          <w:rFonts w:ascii="StobiSerif Regular" w:hAnsi="StobiSerif Regular"/>
          <w:b/>
          <w:lang w:val="sq-AL"/>
        </w:rPr>
      </w:pPr>
      <w:r w:rsidRPr="0002442F">
        <w:rPr>
          <w:rFonts w:ascii="StobiSerif Regular" w:hAnsi="StobiSerif Regular"/>
          <w:b/>
          <w:lang w:val="sq-AL"/>
        </w:rPr>
        <w:t>ВО ОТПАДОТ ШТО СМЕЕ ДА СЕ ДЕПОНИРА</w:t>
      </w:r>
      <w:r w:rsidR="00815805" w:rsidRPr="0002442F">
        <w:rPr>
          <w:rFonts w:ascii="StobiSerif Regular" w:hAnsi="StobiSerif Regular"/>
          <w:b/>
          <w:lang w:val="sq-AL"/>
        </w:rPr>
        <w:t xml:space="preserve"> (</w:t>
      </w:r>
      <w:r w:rsidR="008F77D9" w:rsidRPr="0002442F">
        <w:rPr>
          <w:rStyle w:val="FootnoteReference"/>
          <w:rFonts w:ascii="StobiSerif Regular" w:hAnsi="StobiSerif Regular"/>
          <w:b/>
          <w:color w:val="FFFFFF" w:themeColor="background1"/>
          <w:lang w:val="sq-AL"/>
        </w:rPr>
        <w:footnoteReference w:id="1"/>
      </w:r>
      <w:r w:rsidR="00815805" w:rsidRPr="0002442F">
        <w:rPr>
          <w:rFonts w:ascii="StobiSerif Regular" w:hAnsi="StobiSerif Regular"/>
          <w:b/>
          <w:lang w:val="sq-AL"/>
        </w:rPr>
        <w:t>*)</w:t>
      </w:r>
    </w:p>
    <w:p w14:paraId="6A0E77F1" w14:textId="77777777" w:rsidR="0035104F" w:rsidRPr="0002442F" w:rsidRDefault="0035104F" w:rsidP="0035104F">
      <w:pPr>
        <w:spacing w:after="0"/>
        <w:jc w:val="center"/>
        <w:rPr>
          <w:rFonts w:ascii="StobiSerif Regular" w:hAnsi="StobiSerif Regular"/>
          <w:b/>
          <w:lang w:val="sq-AL"/>
        </w:rPr>
      </w:pPr>
    </w:p>
    <w:p w14:paraId="2CA2EAAE"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1</w:t>
      </w:r>
    </w:p>
    <w:p w14:paraId="23806BC6" w14:textId="7A3D6471"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Со овој правилник се пропишува количеството на биоразградливи состојки во отпадот што смее да се депонира.</w:t>
      </w:r>
    </w:p>
    <w:p w14:paraId="10B3515E"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2</w:t>
      </w:r>
    </w:p>
    <w:p w14:paraId="4A45383C" w14:textId="70CCC023"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Цел</w:t>
      </w:r>
      <w:r w:rsidR="0086667A" w:rsidRPr="0002442F">
        <w:rPr>
          <w:rFonts w:ascii="StobiSerif Regular" w:hAnsi="StobiSerif Regular"/>
          <w:lang w:val="sq-AL"/>
        </w:rPr>
        <w:t>та</w:t>
      </w:r>
      <w:r w:rsidRPr="0002442F">
        <w:rPr>
          <w:rFonts w:ascii="StobiSerif Regular" w:hAnsi="StobiSerif Regular"/>
          <w:lang w:val="sq-AL"/>
        </w:rPr>
        <w:t xml:space="preserve"> на овој правилник е </w:t>
      </w:r>
      <w:r w:rsidR="0086667A" w:rsidRPr="0002442F">
        <w:rPr>
          <w:rFonts w:ascii="StobiSerif Regular" w:hAnsi="StobiSerif Regular"/>
          <w:lang w:val="sq-AL"/>
        </w:rPr>
        <w:t xml:space="preserve">намалување на количеството биоразградливи состојки во отпадот што се депонира </w:t>
      </w:r>
      <w:r w:rsidRPr="0002442F">
        <w:rPr>
          <w:rFonts w:ascii="StobiSerif Regular" w:hAnsi="StobiSerif Regular"/>
          <w:lang w:val="sq-AL"/>
        </w:rPr>
        <w:t>преку примена на превенција, рециклирање, компостирање, производство на биогас, или друг начин на искористување на материјата и енергијата на биоразградливиот отпад, заради:</w:t>
      </w:r>
    </w:p>
    <w:p w14:paraId="5C8B3704"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намалување на емисиите на стакленички гасови кои предизвикуваат глобално затоплување,</w:t>
      </w:r>
    </w:p>
    <w:p w14:paraId="63CA751C"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зачувување на природните ресурси ,</w:t>
      </w:r>
    </w:p>
    <w:p w14:paraId="68FB9926"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избегнување на некорисно зафаќање на земјиште,</w:t>
      </w:r>
    </w:p>
    <w:p w14:paraId="172F28D0"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намалување на зависноста од фосилни горива,</w:t>
      </w:r>
    </w:p>
    <w:p w14:paraId="073D7D85" w14:textId="2EDBDA23"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стимулирање на стопански дејности</w:t>
      </w:r>
      <w:r w:rsidR="0086667A" w:rsidRPr="0002442F">
        <w:rPr>
          <w:rFonts w:ascii="StobiSerif Regular" w:hAnsi="StobiSerif Regular"/>
          <w:lang w:val="sq-AL"/>
        </w:rPr>
        <w:t xml:space="preserve"> и индустријата</w:t>
      </w:r>
      <w:r w:rsidRPr="0002442F">
        <w:rPr>
          <w:rFonts w:ascii="StobiSerif Regular" w:hAnsi="StobiSerif Regular"/>
          <w:lang w:val="sq-AL"/>
        </w:rPr>
        <w:t>, особено во руралните области, и</w:t>
      </w:r>
    </w:p>
    <w:p w14:paraId="5D051581"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спречување или намалување на негативното влијание на биоразградливите состојки на отпадот што се депонира врз квалитетот на медиумите на животната средина и на ризиците по животот и здравјето на луѓето.</w:t>
      </w:r>
    </w:p>
    <w:p w14:paraId="2716ECED" w14:textId="77777777" w:rsidR="005A42A5" w:rsidRPr="0002442F" w:rsidRDefault="005A42A5" w:rsidP="000E7458">
      <w:pPr>
        <w:jc w:val="both"/>
        <w:rPr>
          <w:rFonts w:ascii="StobiSerif Regular" w:hAnsi="StobiSerif Regular"/>
          <w:lang w:val="sq-AL"/>
        </w:rPr>
      </w:pPr>
    </w:p>
    <w:p w14:paraId="358C0BA0"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3</w:t>
      </w:r>
    </w:p>
    <w:p w14:paraId="58A6D68F"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Одделни изрази употребени во овој правилник, го имаат следното значење:</w:t>
      </w:r>
    </w:p>
    <w:p w14:paraId="13821933" w14:textId="5D3F8FA9" w:rsidR="005A42A5" w:rsidRPr="0002442F" w:rsidRDefault="00680881" w:rsidP="000E7458">
      <w:pPr>
        <w:jc w:val="both"/>
        <w:rPr>
          <w:rFonts w:ascii="StobiSerif Regular" w:hAnsi="StobiSerif Regular"/>
          <w:lang w:val="sq-AL"/>
        </w:rPr>
      </w:pPr>
      <w:r w:rsidRPr="0002442F">
        <w:rPr>
          <w:rFonts w:ascii="StobiSerif Regular" w:hAnsi="StobiSerif Regular"/>
          <w:lang w:val="sq-AL"/>
        </w:rPr>
        <w:t xml:space="preserve">1. </w:t>
      </w:r>
      <w:r w:rsidRPr="0002442F">
        <w:rPr>
          <w:rFonts w:ascii="StobiSerif Regular" w:hAnsi="StobiSerif Regular"/>
          <w:b/>
          <w:lang w:val="sq-AL"/>
        </w:rPr>
        <w:t>Изм</w:t>
      </w:r>
      <w:r w:rsidR="005A42A5" w:rsidRPr="0002442F">
        <w:rPr>
          <w:rFonts w:ascii="StobiSerif Regular" w:hAnsi="StobiSerif Regular"/>
          <w:b/>
          <w:lang w:val="sq-AL"/>
        </w:rPr>
        <w:t>ешан комунален отпад</w:t>
      </w:r>
      <w:r w:rsidR="005A42A5" w:rsidRPr="0002442F">
        <w:rPr>
          <w:rFonts w:ascii="StobiSerif Regular" w:hAnsi="StobiSerif Regular"/>
          <w:lang w:val="sq-AL"/>
        </w:rPr>
        <w:t xml:space="preserve"> е отпадот кој во Листата на видовите отпад припаѓа на подг</w:t>
      </w:r>
      <w:r w:rsidR="000E7458" w:rsidRPr="0002442F">
        <w:rPr>
          <w:rFonts w:ascii="StobiSerif Regular" w:hAnsi="StobiSerif Regular"/>
          <w:lang w:val="sq-AL"/>
        </w:rPr>
        <w:t>рупата отпад со шифра 20 03 01;</w:t>
      </w:r>
    </w:p>
    <w:p w14:paraId="010D6690" w14:textId="6D086992"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lastRenderedPageBreak/>
        <w:t xml:space="preserve">2. </w:t>
      </w:r>
      <w:r w:rsidRPr="0002442F">
        <w:rPr>
          <w:rFonts w:ascii="StobiSerif Regular" w:hAnsi="StobiSerif Regular"/>
          <w:b/>
          <w:lang w:val="sq-AL"/>
        </w:rPr>
        <w:t>Биоразградлив о</w:t>
      </w:r>
      <w:r w:rsidR="00680881" w:rsidRPr="0002442F">
        <w:rPr>
          <w:rFonts w:ascii="StobiSerif Regular" w:hAnsi="StobiSerif Regular"/>
          <w:b/>
          <w:lang w:val="sq-AL"/>
        </w:rPr>
        <w:t>тпад</w:t>
      </w:r>
      <w:r w:rsidR="00BF76BB" w:rsidRPr="0002442F">
        <w:rPr>
          <w:rFonts w:ascii="StobiSerif Regular" w:hAnsi="StobiSerif Regular"/>
          <w:lang w:val="sq-AL"/>
        </w:rPr>
        <w:t xml:space="preserve"> </w:t>
      </w:r>
      <w:r w:rsidRPr="0002442F">
        <w:rPr>
          <w:rFonts w:ascii="StobiSerif Regular" w:hAnsi="StobiSerif Regular"/>
          <w:lang w:val="sq-AL"/>
        </w:rPr>
        <w:t>е отпад од градини и паркови, од храна и кујни на домаќинства, институции, малопродажба, угостителски дејности (ресторани, мензи, хотели, катеринг и друго) и слично, хартиј</w:t>
      </w:r>
      <w:r w:rsidR="00680881" w:rsidRPr="0002442F">
        <w:rPr>
          <w:rFonts w:ascii="StobiSerif Regular" w:hAnsi="StobiSerif Regular"/>
          <w:lang w:val="sq-AL"/>
        </w:rPr>
        <w:t>а, картон, текстил, како и друг отпад што може да биде</w:t>
      </w:r>
      <w:r w:rsidRPr="0002442F">
        <w:rPr>
          <w:rFonts w:ascii="StobiSerif Regular" w:hAnsi="StobiSerif Regular"/>
          <w:lang w:val="sq-AL"/>
        </w:rPr>
        <w:t xml:space="preserve"> разградени со аеробни </w:t>
      </w:r>
      <w:r w:rsidR="00680881" w:rsidRPr="0002442F">
        <w:rPr>
          <w:rFonts w:ascii="StobiSerif Regular" w:hAnsi="StobiSerif Regular"/>
          <w:lang w:val="sq-AL"/>
        </w:rPr>
        <w:t>и/</w:t>
      </w:r>
      <w:r w:rsidRPr="0002442F">
        <w:rPr>
          <w:rFonts w:ascii="StobiSerif Regular" w:hAnsi="StobiSerif Regular"/>
          <w:lang w:val="sq-AL"/>
        </w:rPr>
        <w:t xml:space="preserve">или </w:t>
      </w:r>
      <w:r w:rsidR="000E7458" w:rsidRPr="0002442F">
        <w:rPr>
          <w:rFonts w:ascii="StobiSerif Regular" w:hAnsi="StobiSerif Regular"/>
          <w:lang w:val="sq-AL"/>
        </w:rPr>
        <w:t>анаеробни процеси на разградба;</w:t>
      </w:r>
    </w:p>
    <w:p w14:paraId="7A245C27" w14:textId="6B4342B9"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xml:space="preserve">3. </w:t>
      </w:r>
      <w:r w:rsidR="00680881" w:rsidRPr="0002442F">
        <w:rPr>
          <w:rFonts w:ascii="StobiSerif Regular" w:hAnsi="StobiSerif Regular"/>
          <w:b/>
          <w:lang w:val="sq-AL"/>
        </w:rPr>
        <w:t>Превентивни мерки</w:t>
      </w:r>
      <w:r w:rsidR="00680881" w:rsidRPr="0002442F">
        <w:rPr>
          <w:rFonts w:ascii="StobiSerif Regular" w:hAnsi="StobiSerif Regular"/>
          <w:lang w:val="sq-AL"/>
        </w:rPr>
        <w:t xml:space="preserve"> </w:t>
      </w:r>
      <w:r w:rsidRPr="0002442F">
        <w:rPr>
          <w:rFonts w:ascii="StobiSerif Regular" w:hAnsi="StobiSerif Regular"/>
          <w:lang w:val="sq-AL"/>
        </w:rPr>
        <w:t>се мерките кои се превземаат пред биоразградливите супстанции, материјали и производи да станат отпад (вклучувајќи го и нивното повторно користење), а со кои се намалува:</w:t>
      </w:r>
    </w:p>
    <w:p w14:paraId="5FF04D10"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количеството отпад,</w:t>
      </w:r>
    </w:p>
    <w:p w14:paraId="20C93ECC"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содржината на опасни супстанции, и</w:t>
      </w:r>
    </w:p>
    <w:p w14:paraId="7CCC3E07" w14:textId="0E63AC25"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опасностите по здравјето на луѓето и животната средина;</w:t>
      </w:r>
    </w:p>
    <w:p w14:paraId="42747F7D" w14:textId="1A55D17D"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xml:space="preserve">4. </w:t>
      </w:r>
      <w:r w:rsidRPr="0002442F">
        <w:rPr>
          <w:rFonts w:ascii="StobiSerif Regular" w:hAnsi="StobiSerif Regular"/>
          <w:b/>
          <w:lang w:val="sq-AL"/>
        </w:rPr>
        <w:t>Компостирање</w:t>
      </w:r>
      <w:r w:rsidR="00D05736" w:rsidRPr="0002442F">
        <w:rPr>
          <w:rFonts w:ascii="StobiSerif Regular" w:hAnsi="StobiSerif Regular"/>
          <w:b/>
          <w:lang w:val="sq-AL"/>
        </w:rPr>
        <w:t xml:space="preserve"> </w:t>
      </w:r>
      <w:r w:rsidR="00D05736" w:rsidRPr="0002442F">
        <w:rPr>
          <w:rFonts w:ascii="StobiSerif Regular" w:hAnsi="StobiSerif Regular"/>
          <w:lang w:val="sq-AL"/>
        </w:rPr>
        <w:t xml:space="preserve">е контролирано, </w:t>
      </w:r>
      <w:r w:rsidR="000910BA" w:rsidRPr="0002442F">
        <w:rPr>
          <w:rFonts w:ascii="StobiSerif Regular" w:hAnsi="StobiSerif Regular"/>
          <w:lang w:val="sq-AL"/>
        </w:rPr>
        <w:t xml:space="preserve">автотермичко (само-загревање), </w:t>
      </w:r>
      <w:r w:rsidR="00D05736" w:rsidRPr="0002442F">
        <w:rPr>
          <w:rFonts w:ascii="StobiSerif Regular" w:hAnsi="StobiSerif Regular"/>
          <w:lang w:val="sq-AL"/>
        </w:rPr>
        <w:t>термофилно (помеѓу 40 до 80 степени Целзиусови)</w:t>
      </w:r>
      <w:r w:rsidR="000910BA" w:rsidRPr="0002442F">
        <w:rPr>
          <w:rFonts w:ascii="StobiSerif Regular" w:hAnsi="StobiSerif Regular"/>
          <w:lang w:val="sq-AL"/>
        </w:rPr>
        <w:t>,</w:t>
      </w:r>
      <w:r w:rsidR="00D05736" w:rsidRPr="0002442F">
        <w:rPr>
          <w:rFonts w:ascii="StobiSerif Regular" w:hAnsi="StobiSerif Regular"/>
          <w:lang w:val="sq-AL"/>
        </w:rPr>
        <w:t xml:space="preserve"> аеробно (биолошко) разградување и стабилизирање</w:t>
      </w:r>
      <w:r w:rsidRPr="0002442F">
        <w:rPr>
          <w:rFonts w:ascii="StobiSerif Regular" w:hAnsi="StobiSerif Regular"/>
          <w:lang w:val="sq-AL"/>
        </w:rPr>
        <w:t xml:space="preserve"> на селективно собран биоразградлив отпад до компост, како резултат на биолошката активн</w:t>
      </w:r>
      <w:r w:rsidR="000E7458" w:rsidRPr="0002442F">
        <w:rPr>
          <w:rFonts w:ascii="StobiSerif Regular" w:hAnsi="StobiSerif Regular"/>
          <w:lang w:val="sq-AL"/>
        </w:rPr>
        <w:t>ост на микро и макро организми;</w:t>
      </w:r>
    </w:p>
    <w:p w14:paraId="0A4BBC73" w14:textId="21E0AFD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xml:space="preserve">5. </w:t>
      </w:r>
      <w:r w:rsidRPr="0002442F">
        <w:rPr>
          <w:rFonts w:ascii="StobiSerif Regular" w:hAnsi="StobiSerif Regular"/>
          <w:b/>
          <w:lang w:val="sq-AL"/>
        </w:rPr>
        <w:t>Биогас</w:t>
      </w:r>
      <w:r w:rsidR="00674671" w:rsidRPr="0002442F">
        <w:rPr>
          <w:rFonts w:ascii="StobiSerif Regular" w:hAnsi="StobiSerif Regular"/>
          <w:lang w:val="sq-AL"/>
        </w:rPr>
        <w:t xml:space="preserve"> е смес</w:t>
      </w:r>
      <w:r w:rsidRPr="0002442F">
        <w:rPr>
          <w:rFonts w:ascii="StobiSerif Regular" w:hAnsi="StobiSerif Regular"/>
          <w:lang w:val="sq-AL"/>
        </w:rPr>
        <w:t>а на метан (CH4), јаглерод диоксид (CO2) и други гасови кои се создаваат при контролирана анаеробна ра</w:t>
      </w:r>
      <w:r w:rsidR="000E7458" w:rsidRPr="0002442F">
        <w:rPr>
          <w:rFonts w:ascii="StobiSerif Regular" w:hAnsi="StobiSerif Regular"/>
          <w:lang w:val="sq-AL"/>
        </w:rPr>
        <w:t>зградба на биоразградлив отпад;</w:t>
      </w:r>
    </w:p>
    <w:p w14:paraId="2976A101" w14:textId="481C3A2F"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xml:space="preserve">6. </w:t>
      </w:r>
      <w:r w:rsidRPr="0002442F">
        <w:rPr>
          <w:rFonts w:ascii="StobiSerif Regular" w:hAnsi="StobiSerif Regular"/>
          <w:b/>
          <w:lang w:val="sq-AL"/>
        </w:rPr>
        <w:t>Механичко-биолошки третман</w:t>
      </w:r>
      <w:r w:rsidRPr="0002442F">
        <w:rPr>
          <w:rFonts w:ascii="StobiSerif Regular" w:hAnsi="StobiSerif Regular"/>
          <w:lang w:val="sq-AL"/>
        </w:rPr>
        <w:t xml:space="preserve"> (МБТ) е третман на отпадот пред неговото депонирање или горење/согорување, и опфаќа комбинација на механички и други физички операции (на пример, сецкање, дробење, сортирање) со биолошки операции (компостирање, анаеробна разградба), при што примената на механичките и физичките операции има за цел одвојување на состојките на отпадот кои не се биоразградливи со што се подобрува биразградливоста и хомогеноста на преостаната маса отпад, а примената на биолошките операции има за цел разградба на органските состојки на отпадот со аеробни или анаеробни процеси проследени со дополнителни аеробни процеси. </w:t>
      </w:r>
      <w:r w:rsidR="000910BA" w:rsidRPr="0002442F">
        <w:rPr>
          <w:rFonts w:ascii="StobiSerif Regular" w:hAnsi="StobiSerif Regular"/>
          <w:lang w:val="sq-AL"/>
        </w:rPr>
        <w:t>Со овој третман се</w:t>
      </w:r>
      <w:r w:rsidRPr="0002442F">
        <w:rPr>
          <w:rFonts w:ascii="StobiSerif Regular" w:hAnsi="StobiSerif Regular"/>
          <w:lang w:val="sq-AL"/>
        </w:rPr>
        <w:t xml:space="preserve"> обезбедува значајно намалување на биоразградливите состојки на отпадот, волуменот на отпадот, содржината на вода во отпадот, можноста за создавање депониски гас (особено метан) и значајно подобрување на карактеристиките на депонискиот исцедок и на стабилноста на депонираниот отпад.</w:t>
      </w:r>
    </w:p>
    <w:p w14:paraId="470B6034"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4</w:t>
      </w:r>
    </w:p>
    <w:p w14:paraId="1A76979D"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Целокупното количество биоразградливи состојки во комуналниот отпад што смее да се депонира на сите депонии за неопасен отпад во Република</w:t>
      </w:r>
      <w:r w:rsidR="00257E0E" w:rsidRPr="0002442F">
        <w:rPr>
          <w:rFonts w:ascii="StobiSerif Regular" w:hAnsi="StobiSerif Regular"/>
          <w:lang w:val="sq-AL"/>
        </w:rPr>
        <w:t xml:space="preserve"> Северна</w:t>
      </w:r>
      <w:r w:rsidRPr="0002442F">
        <w:rPr>
          <w:rFonts w:ascii="StobiSerif Regular" w:hAnsi="StobiSerif Regular"/>
          <w:lang w:val="sq-AL"/>
        </w:rPr>
        <w:t xml:space="preserve"> Македонија во текот на секоја календарска година е количеството дадено во Прилогот кој е составен дел на овој правилник.</w:t>
      </w:r>
    </w:p>
    <w:p w14:paraId="52A32B04" w14:textId="77777777" w:rsidR="005A42A5" w:rsidRPr="0002442F" w:rsidRDefault="005A42A5" w:rsidP="000E7458">
      <w:pPr>
        <w:jc w:val="both"/>
        <w:rPr>
          <w:rFonts w:ascii="StobiSerif Regular" w:hAnsi="StobiSerif Regular"/>
          <w:lang w:val="sq-AL"/>
        </w:rPr>
      </w:pPr>
    </w:p>
    <w:p w14:paraId="58B60F25"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lastRenderedPageBreak/>
        <w:t>Член 5</w:t>
      </w:r>
    </w:p>
    <w:p w14:paraId="5B6FDE59" w14:textId="2D420D24"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(1) Операторот на депонија за неопасен отпад, во секоја календарска година може да депонира комунален отпад во кој масениот удел на биоразградливите состојки не го надминува масениот удел</w:t>
      </w:r>
      <w:r w:rsidR="000910BA" w:rsidRPr="0002442F">
        <w:rPr>
          <w:rFonts w:ascii="StobiSerif Regular" w:hAnsi="StobiSerif Regular"/>
          <w:lang w:val="sq-AL"/>
        </w:rPr>
        <w:t xml:space="preserve"> на биоразградливите состојки од</w:t>
      </w:r>
      <w:r w:rsidRPr="0002442F">
        <w:rPr>
          <w:rFonts w:ascii="StobiSerif Regular" w:hAnsi="StobiSerif Regular"/>
          <w:lang w:val="sq-AL"/>
        </w:rPr>
        <w:t xml:space="preserve"> вкупното количество комунален отпад што се депонира на сите депонии во Република</w:t>
      </w:r>
      <w:r w:rsidR="00257E0E" w:rsidRPr="0002442F">
        <w:rPr>
          <w:rFonts w:ascii="StobiSerif Regular" w:hAnsi="StobiSerif Regular"/>
          <w:lang w:val="sq-AL"/>
        </w:rPr>
        <w:t xml:space="preserve"> Северна</w:t>
      </w:r>
      <w:r w:rsidRPr="0002442F">
        <w:rPr>
          <w:rFonts w:ascii="StobiSerif Regular" w:hAnsi="StobiSerif Regular"/>
          <w:lang w:val="sq-AL"/>
        </w:rPr>
        <w:t xml:space="preserve"> Македонија во </w:t>
      </w:r>
      <w:r w:rsidR="000910BA" w:rsidRPr="0002442F">
        <w:rPr>
          <w:rFonts w:ascii="StobiSerif Regular" w:hAnsi="StobiSerif Regular"/>
          <w:lang w:val="sq-AL"/>
        </w:rPr>
        <w:t>тековната</w:t>
      </w:r>
      <w:r w:rsidRPr="0002442F">
        <w:rPr>
          <w:rFonts w:ascii="StobiSerif Regular" w:hAnsi="StobiSerif Regular"/>
          <w:lang w:val="sq-AL"/>
        </w:rPr>
        <w:t xml:space="preserve"> календарска година, даден во </w:t>
      </w:r>
      <w:r w:rsidR="000E7458" w:rsidRPr="0002442F">
        <w:rPr>
          <w:rFonts w:ascii="StobiSerif Regular" w:hAnsi="StobiSerif Regular"/>
          <w:lang w:val="sq-AL"/>
        </w:rPr>
        <w:t>Прилогот на овој правилник.</w:t>
      </w:r>
    </w:p>
    <w:p w14:paraId="6DB1E95A" w14:textId="4E2402A3"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xml:space="preserve">(2) По исклучок од став (1) на овој член, на оператор на депонија може да му се одобри повисок масен удел на биоразградливи состојки во комуналниот отпад што ќе го депонира во одредена календарска година согласно планските документи од став (3) на овој член, доколку се утврди дека целокупното количество биоразградливи состојки во комуналниот отпад што ќе се депонира на сите депонии во Република </w:t>
      </w:r>
      <w:r w:rsidR="00257E0E" w:rsidRPr="0002442F">
        <w:rPr>
          <w:rFonts w:ascii="StobiSerif Regular" w:hAnsi="StobiSerif Regular"/>
          <w:lang w:val="sq-AL"/>
        </w:rPr>
        <w:t xml:space="preserve">Северна </w:t>
      </w:r>
      <w:r w:rsidRPr="0002442F">
        <w:rPr>
          <w:rFonts w:ascii="StobiSerif Regular" w:hAnsi="StobiSerif Regular"/>
          <w:lang w:val="sq-AL"/>
        </w:rPr>
        <w:t xml:space="preserve">Македонија во </w:t>
      </w:r>
      <w:r w:rsidR="000910BA" w:rsidRPr="0002442F">
        <w:rPr>
          <w:rFonts w:ascii="StobiSerif Regular" w:hAnsi="StobiSerif Regular"/>
          <w:lang w:val="sq-AL"/>
        </w:rPr>
        <w:t>тековната</w:t>
      </w:r>
      <w:r w:rsidRPr="0002442F">
        <w:rPr>
          <w:rFonts w:ascii="StobiSerif Regular" w:hAnsi="StobiSerif Regular"/>
          <w:lang w:val="sq-AL"/>
        </w:rPr>
        <w:t xml:space="preserve"> календарска година, нема да го надмине количеството на биоразградливи состојки за таа година </w:t>
      </w:r>
      <w:r w:rsidR="000910BA" w:rsidRPr="0002442F">
        <w:rPr>
          <w:rFonts w:ascii="StobiSerif Regular" w:hAnsi="StobiSerif Regular"/>
          <w:lang w:val="sq-AL"/>
        </w:rPr>
        <w:t>согласно со</w:t>
      </w:r>
      <w:r w:rsidR="000E7458" w:rsidRPr="0002442F">
        <w:rPr>
          <w:rFonts w:ascii="StobiSerif Regular" w:hAnsi="StobiSerif Regular"/>
          <w:lang w:val="sq-AL"/>
        </w:rPr>
        <w:t xml:space="preserve"> Прилогот на овој правилник.</w:t>
      </w:r>
    </w:p>
    <w:p w14:paraId="5D52068C"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(3) Масениот удел на биоразградливите состојки од став (2) на овој член се одредува со:</w:t>
      </w:r>
    </w:p>
    <w:p w14:paraId="2ED21595" w14:textId="3A755A05"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одобрување на плановите кои ги донесуваат општините и градот Скопје, согласно Законот за управување со отпадот,</w:t>
      </w:r>
    </w:p>
    <w:p w14:paraId="4C92BE1C"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одобрување на програмите кои ги донесуваат општините и градот Скопје за секоја календарска година од планскиот период врз основа на Планот од алинеја 1 на овој став,</w:t>
      </w:r>
    </w:p>
    <w:p w14:paraId="2F0B1432" w14:textId="7DF0EA8C"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програмите за управување со отпадот, кои што ги донесува надлежниот орган за вршење стручни работи во животната средина, согласно Законот за управување со отпадот.</w:t>
      </w:r>
      <w:bookmarkStart w:id="0" w:name="_GoBack"/>
      <w:bookmarkEnd w:id="0"/>
    </w:p>
    <w:p w14:paraId="571288D2"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6</w:t>
      </w:r>
    </w:p>
    <w:p w14:paraId="7D17C524" w14:textId="4516CA6E"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На депонија за неопасен отпад</w:t>
      </w:r>
      <w:r w:rsidR="00DA1C00" w:rsidRPr="0002442F">
        <w:rPr>
          <w:rFonts w:ascii="StobiSerif Regular" w:hAnsi="StobiSerif Regular"/>
          <w:lang w:val="sq-AL"/>
        </w:rPr>
        <w:t>,</w:t>
      </w:r>
      <w:r w:rsidRPr="0002442F">
        <w:rPr>
          <w:rFonts w:ascii="StobiSerif Regular" w:hAnsi="StobiSerif Regular"/>
          <w:lang w:val="sq-AL"/>
        </w:rPr>
        <w:t xml:space="preserve"> каде се спроведува механичко-биолошки третман на мешан комунален отпад, така третираниот и стабилизиран кому</w:t>
      </w:r>
      <w:r w:rsidR="00DA1C00" w:rsidRPr="0002442F">
        <w:rPr>
          <w:rFonts w:ascii="StobiSerif Regular" w:hAnsi="StobiSerif Regular"/>
          <w:lang w:val="sq-AL"/>
        </w:rPr>
        <w:t>нален отпад може да се депонира</w:t>
      </w:r>
      <w:r w:rsidRPr="0002442F">
        <w:rPr>
          <w:rFonts w:ascii="StobiSerif Regular" w:hAnsi="StobiSerif Regular"/>
          <w:lang w:val="sq-AL"/>
        </w:rPr>
        <w:t>, доколку:</w:t>
      </w:r>
    </w:p>
    <w:p w14:paraId="13F2E2A7"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измерените вредности, со исклучок на вредноста за растворен органски кислорид (DOC), не ги надминуваат граничните вредности на параметрите за прифаќање на отпад на депонии за неопасен отпад утврдени со Правилникот за критериумите за прифаќање на отпадот во депониите од секоја класа, подготвителните постапки за прифаќање на отпадот, општите постапки за тестирање, земање мостри и прифаќање на отпадот, и</w:t>
      </w:r>
    </w:p>
    <w:p w14:paraId="67EDDBC9"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 содржината на вкупниот органски јаглерод (TOC) не надминува 18% од масата на механичко- биолошки третираниот мешан комунален отпад.</w:t>
      </w:r>
    </w:p>
    <w:p w14:paraId="2B1593EC" w14:textId="77777777" w:rsidR="005A42A5" w:rsidRPr="0002442F" w:rsidRDefault="005A42A5" w:rsidP="000E7458">
      <w:pPr>
        <w:jc w:val="both"/>
        <w:rPr>
          <w:rFonts w:ascii="StobiSerif Regular" w:hAnsi="StobiSerif Regular"/>
          <w:lang w:val="sq-AL"/>
        </w:rPr>
      </w:pPr>
    </w:p>
    <w:p w14:paraId="75D89FC5" w14:textId="77777777" w:rsidR="005A42A5" w:rsidRPr="0002442F" w:rsidRDefault="005A42A5" w:rsidP="000E7458">
      <w:pPr>
        <w:jc w:val="center"/>
        <w:rPr>
          <w:rFonts w:ascii="StobiSerif Regular" w:hAnsi="StobiSerif Regular"/>
          <w:lang w:val="sq-AL"/>
        </w:rPr>
      </w:pPr>
      <w:r w:rsidRPr="0002442F">
        <w:rPr>
          <w:rFonts w:ascii="StobiSerif Regular" w:hAnsi="StobiSerif Regular"/>
          <w:lang w:val="sq-AL"/>
        </w:rPr>
        <w:t>Член 7</w:t>
      </w:r>
    </w:p>
    <w:p w14:paraId="12763D02" w14:textId="77777777" w:rsidR="00257E0E" w:rsidRPr="0002442F" w:rsidRDefault="00257E0E" w:rsidP="00257E0E">
      <w:pPr>
        <w:jc w:val="both"/>
        <w:rPr>
          <w:rFonts w:ascii="StobiSerif Regular" w:hAnsi="StobiSerif Regular"/>
          <w:lang w:val="sq-AL"/>
        </w:rPr>
      </w:pPr>
      <w:r w:rsidRPr="0002442F">
        <w:rPr>
          <w:rFonts w:ascii="StobiSerif Regular" w:hAnsi="StobiSerif Regular"/>
          <w:lang w:val="sq-AL"/>
        </w:rPr>
        <w:t xml:space="preserve">Со денот на влегувањето во сила на овој правилник, престанува да важи Правилникот </w:t>
      </w:r>
      <w:r w:rsidR="00306C3A" w:rsidRPr="0002442F">
        <w:rPr>
          <w:rFonts w:ascii="StobiSerif Regular" w:hAnsi="StobiSerif Regular"/>
          <w:lang w:val="sq-AL"/>
        </w:rPr>
        <w:t xml:space="preserve">количеството на биоразградливи состојки во отпадот што смее да се депонира </w:t>
      </w:r>
      <w:r w:rsidRPr="0002442F">
        <w:rPr>
          <w:rFonts w:ascii="StobiSerif Regular" w:hAnsi="StobiSerif Regular"/>
          <w:lang w:val="sq-AL"/>
        </w:rPr>
        <w:t>(„Службен весник на Република Македонија“  бр. 108/09).</w:t>
      </w:r>
    </w:p>
    <w:p w14:paraId="5D0F33B1" w14:textId="77777777" w:rsidR="00257E0E" w:rsidRPr="0002442F" w:rsidRDefault="00257E0E" w:rsidP="000E7458">
      <w:pPr>
        <w:jc w:val="center"/>
        <w:rPr>
          <w:rFonts w:ascii="StobiSerif Regular" w:hAnsi="StobiSerif Regular"/>
          <w:lang w:val="sq-AL"/>
        </w:rPr>
      </w:pPr>
      <w:r w:rsidRPr="0002442F">
        <w:rPr>
          <w:rFonts w:ascii="StobiSerif Regular" w:hAnsi="StobiSerif Regular"/>
          <w:lang w:val="sq-AL"/>
        </w:rPr>
        <w:t>Член 8</w:t>
      </w:r>
    </w:p>
    <w:p w14:paraId="2B3EEF75" w14:textId="77777777" w:rsidR="005A42A5" w:rsidRPr="0002442F" w:rsidRDefault="005A42A5" w:rsidP="000E7458">
      <w:pPr>
        <w:jc w:val="both"/>
        <w:rPr>
          <w:rFonts w:ascii="StobiSerif Regular" w:hAnsi="StobiSerif Regular"/>
          <w:lang w:val="sq-AL"/>
        </w:rPr>
      </w:pPr>
      <w:r w:rsidRPr="0002442F">
        <w:rPr>
          <w:rFonts w:ascii="StobiSerif Regular" w:hAnsi="StobiSerif Regular"/>
          <w:lang w:val="sq-AL"/>
        </w:rPr>
        <w:t>Овој правилник влегува во сила наредниот ден од денот на објавувањето во „Службен весник на Р</w:t>
      </w:r>
      <w:r w:rsidR="00257E0E" w:rsidRPr="0002442F">
        <w:rPr>
          <w:rFonts w:ascii="StobiSerif Regular" w:hAnsi="StobiSerif Regular"/>
          <w:lang w:val="sq-AL"/>
        </w:rPr>
        <w:t>епублика Северна Македонија“</w:t>
      </w:r>
      <w:r w:rsidRPr="0002442F">
        <w:rPr>
          <w:rFonts w:ascii="StobiSerif Regular" w:hAnsi="StobiSerif Regular"/>
          <w:lang w:val="sq-AL"/>
        </w:rPr>
        <w:t>.</w:t>
      </w:r>
    </w:p>
    <w:p w14:paraId="28753366" w14:textId="77777777" w:rsidR="005A42A5" w:rsidRPr="0002442F" w:rsidRDefault="005A42A5" w:rsidP="000E7458">
      <w:pPr>
        <w:jc w:val="both"/>
        <w:rPr>
          <w:rFonts w:ascii="StobiSerif Regular" w:hAnsi="StobiSerif Regular"/>
          <w:lang w:val="sq-AL"/>
        </w:rPr>
      </w:pPr>
    </w:p>
    <w:p w14:paraId="6A7A660C" w14:textId="77777777" w:rsidR="00A765B8" w:rsidRPr="0002442F" w:rsidRDefault="00A765B8" w:rsidP="00A765B8">
      <w:pPr>
        <w:spacing w:line="360" w:lineRule="auto"/>
        <w:jc w:val="both"/>
        <w:rPr>
          <w:rFonts w:ascii="StobiSerif Regular" w:hAnsi="StobiSerif Regular"/>
          <w:lang w:val="sq-AL"/>
        </w:rPr>
      </w:pPr>
      <w:r w:rsidRPr="0002442F">
        <w:rPr>
          <w:rFonts w:ascii="StobiSerif Regular" w:hAnsi="StobiSerif Regular"/>
          <w:lang w:val="sq-AL"/>
        </w:rPr>
        <w:t>Бр. ____________                                                                                Министер за животна средина</w:t>
      </w:r>
    </w:p>
    <w:p w14:paraId="74A9D6F6" w14:textId="77777777" w:rsidR="00A765B8" w:rsidRPr="0002442F" w:rsidRDefault="00A765B8" w:rsidP="00A765B8">
      <w:pPr>
        <w:spacing w:line="360" w:lineRule="auto"/>
        <w:jc w:val="both"/>
        <w:rPr>
          <w:rFonts w:ascii="StobiSerif Regular" w:hAnsi="StobiSerif Regular"/>
          <w:lang w:val="sq-AL"/>
        </w:rPr>
      </w:pPr>
      <w:r w:rsidRPr="0002442F">
        <w:rPr>
          <w:rFonts w:ascii="StobiSerif Regular" w:hAnsi="StobiSerif Regular"/>
          <w:lang w:val="sq-AL"/>
        </w:rPr>
        <w:t>________ 2021 година                                                                               и просторно планирање</w:t>
      </w:r>
    </w:p>
    <w:p w14:paraId="33418601" w14:textId="77777777" w:rsidR="005A42A5" w:rsidRPr="0002442F" w:rsidRDefault="005A42A5" w:rsidP="000E7458">
      <w:pPr>
        <w:jc w:val="both"/>
        <w:rPr>
          <w:rFonts w:ascii="StobiSerif Regular" w:hAnsi="StobiSerif Regular"/>
          <w:lang w:val="sq-AL"/>
        </w:rPr>
      </w:pPr>
    </w:p>
    <w:p w14:paraId="4339A7C9" w14:textId="77777777" w:rsidR="00A765B8" w:rsidRPr="0002442F" w:rsidRDefault="00A765B8" w:rsidP="00306C3A">
      <w:pPr>
        <w:jc w:val="right"/>
        <w:rPr>
          <w:rFonts w:ascii="StobiSerif Regular" w:hAnsi="StobiSerif Regular"/>
          <w:lang w:val="sq-AL"/>
        </w:rPr>
      </w:pPr>
    </w:p>
    <w:p w14:paraId="0F6D9BFC" w14:textId="0D8D0111" w:rsidR="008F77D9" w:rsidRPr="0002442F" w:rsidRDefault="008F77D9">
      <w:pPr>
        <w:rPr>
          <w:rFonts w:ascii="StobiSerif Regular" w:hAnsi="StobiSerif Regular"/>
          <w:lang w:val="sq-AL"/>
        </w:rPr>
      </w:pPr>
      <w:r w:rsidRPr="0002442F">
        <w:rPr>
          <w:rFonts w:ascii="StobiSerif Regular" w:hAnsi="StobiSerif Regular"/>
          <w:lang w:val="sq-AL"/>
        </w:rPr>
        <w:br w:type="page"/>
      </w:r>
    </w:p>
    <w:p w14:paraId="756EA989" w14:textId="77777777" w:rsidR="00A765B8" w:rsidRPr="0002442F" w:rsidRDefault="00A765B8" w:rsidP="00A56E53">
      <w:pPr>
        <w:rPr>
          <w:rFonts w:ascii="StobiSerif Regular" w:hAnsi="StobiSerif Regular"/>
          <w:lang w:val="sq-AL"/>
        </w:rPr>
      </w:pPr>
    </w:p>
    <w:p w14:paraId="7B05B9CE" w14:textId="77777777" w:rsidR="00A765B8" w:rsidRPr="0002442F" w:rsidRDefault="00A765B8" w:rsidP="00306C3A">
      <w:pPr>
        <w:jc w:val="right"/>
        <w:rPr>
          <w:rFonts w:ascii="StobiSerif Regular" w:hAnsi="StobiSerif Regular"/>
          <w:lang w:val="sq-AL"/>
        </w:rPr>
      </w:pPr>
    </w:p>
    <w:p w14:paraId="73BEA5CF" w14:textId="77777777" w:rsidR="007728AA" w:rsidRPr="0002442F" w:rsidRDefault="007728AA" w:rsidP="00306C3A">
      <w:pPr>
        <w:jc w:val="right"/>
        <w:rPr>
          <w:rFonts w:ascii="StobiSerif Regular" w:hAnsi="StobiSerif Regular"/>
          <w:b/>
          <w:lang w:val="sq-AL"/>
        </w:rPr>
      </w:pPr>
      <w:r w:rsidRPr="0002442F">
        <w:rPr>
          <w:rFonts w:ascii="StobiSerif Regular" w:hAnsi="StobiSerif Regular"/>
          <w:b/>
          <w:lang w:val="sq-AL"/>
        </w:rPr>
        <w:t>ПРИЛОГ</w:t>
      </w:r>
    </w:p>
    <w:p w14:paraId="73EBE10B" w14:textId="77777777" w:rsidR="007728AA" w:rsidRPr="0002442F" w:rsidRDefault="00416C89" w:rsidP="00A76983">
      <w:pPr>
        <w:jc w:val="center"/>
        <w:rPr>
          <w:rFonts w:ascii="StobiSerif Regular" w:hAnsi="StobiSerif Regular"/>
          <w:lang w:val="sq-AL"/>
        </w:rPr>
      </w:pPr>
      <w:r w:rsidRPr="0002442F">
        <w:rPr>
          <w:rFonts w:ascii="StobiSerif Regular" w:hAnsi="StobiSerif Regular"/>
          <w:lang w:val="sq-AL"/>
        </w:rPr>
        <w:t>Количество на биоразградливи состојки во комунален отпад што смее да се депонира на сите депонии во Република Северна Македонија на годишно ниво</w:t>
      </w:r>
    </w:p>
    <w:p w14:paraId="3B256419" w14:textId="77777777" w:rsidR="00416C89" w:rsidRPr="0002442F" w:rsidRDefault="00416C89" w:rsidP="000E7458">
      <w:pPr>
        <w:jc w:val="both"/>
        <w:rPr>
          <w:rFonts w:ascii="StobiSerif Regular" w:hAnsi="StobiSerif Regular"/>
          <w:lang w:val="sq-AL"/>
        </w:rPr>
      </w:pPr>
    </w:p>
    <w:tbl>
      <w:tblPr>
        <w:tblStyle w:val="TableGrid"/>
        <w:tblW w:w="0" w:type="auto"/>
        <w:tblLook w:val="04A0" w:firstRow="1" w:lastRow="0" w:firstColumn="1" w:lastColumn="0" w:noHBand="0" w:noVBand="1"/>
      </w:tblPr>
      <w:tblGrid>
        <w:gridCol w:w="2254"/>
        <w:gridCol w:w="2254"/>
        <w:gridCol w:w="2254"/>
        <w:gridCol w:w="2254"/>
      </w:tblGrid>
      <w:tr w:rsidR="00416C89" w:rsidRPr="0002442F" w14:paraId="0DF16CFD" w14:textId="77777777" w:rsidTr="00416C89">
        <w:tc>
          <w:tcPr>
            <w:tcW w:w="2254" w:type="dxa"/>
          </w:tcPr>
          <w:p w14:paraId="247DEBB9" w14:textId="77777777" w:rsidR="00416C89" w:rsidRPr="0002442F" w:rsidRDefault="00416C89" w:rsidP="000E7458">
            <w:pPr>
              <w:jc w:val="both"/>
              <w:rPr>
                <w:rFonts w:ascii="StobiSerif Regular" w:hAnsi="StobiSerif Regular"/>
                <w:lang w:val="sq-AL"/>
              </w:rPr>
            </w:pPr>
            <w:r w:rsidRPr="0002442F">
              <w:rPr>
                <w:rFonts w:ascii="StobiSerif Regular" w:hAnsi="StobiSerif Regular"/>
                <w:lang w:val="sq-AL"/>
              </w:rPr>
              <w:t>Година</w:t>
            </w:r>
          </w:p>
        </w:tc>
        <w:tc>
          <w:tcPr>
            <w:tcW w:w="2254" w:type="dxa"/>
          </w:tcPr>
          <w:p w14:paraId="0DC8ED7B" w14:textId="77777777" w:rsidR="00416C89" w:rsidRPr="0002442F" w:rsidRDefault="00416C89" w:rsidP="00416C89">
            <w:pPr>
              <w:jc w:val="both"/>
              <w:rPr>
                <w:rFonts w:ascii="StobiSerif Regular" w:hAnsi="StobiSerif Regular"/>
                <w:lang w:val="sq-AL"/>
              </w:rPr>
            </w:pPr>
            <w:r w:rsidRPr="0002442F">
              <w:rPr>
                <w:rFonts w:ascii="StobiSerif Regular" w:hAnsi="StobiSerif Regular"/>
                <w:lang w:val="sq-AL"/>
              </w:rPr>
              <w:t>Количество на биоразградливи состојки во комунален отпад што смее да се депонира на годишно ниво на цела територија на Република Северна Македонија (1000 т)</w:t>
            </w:r>
          </w:p>
          <w:p w14:paraId="704B2FEB" w14:textId="77777777" w:rsidR="00416C89" w:rsidRPr="0002442F" w:rsidRDefault="00416C89" w:rsidP="000E7458">
            <w:pPr>
              <w:jc w:val="both"/>
              <w:rPr>
                <w:rFonts w:ascii="StobiSerif Regular" w:hAnsi="StobiSerif Regular"/>
                <w:lang w:val="sq-AL"/>
              </w:rPr>
            </w:pPr>
          </w:p>
        </w:tc>
        <w:tc>
          <w:tcPr>
            <w:tcW w:w="2254" w:type="dxa"/>
          </w:tcPr>
          <w:p w14:paraId="0F7A38F8" w14:textId="77777777" w:rsidR="00416C89" w:rsidRPr="0002442F" w:rsidRDefault="00416C89" w:rsidP="000E7458">
            <w:pPr>
              <w:jc w:val="both"/>
              <w:rPr>
                <w:rFonts w:ascii="StobiSerif Regular" w:hAnsi="StobiSerif Regular"/>
                <w:lang w:val="sq-AL"/>
              </w:rPr>
            </w:pPr>
            <w:r w:rsidRPr="0002442F">
              <w:rPr>
                <w:rFonts w:ascii="StobiSerif Regular" w:hAnsi="StobiSerif Regular"/>
                <w:lang w:val="sq-AL"/>
              </w:rPr>
              <w:t>Количество на депонирани биоразградливи состојки во комунален отпад на годишно ниво, изразено како масен удел во комуналниот отпад создаден во 1995-та година (%)</w:t>
            </w:r>
          </w:p>
        </w:tc>
        <w:tc>
          <w:tcPr>
            <w:tcW w:w="2254" w:type="dxa"/>
          </w:tcPr>
          <w:p w14:paraId="5EE83977" w14:textId="77777777" w:rsidR="00416C89" w:rsidRPr="0002442F" w:rsidRDefault="00416C89" w:rsidP="00416C89">
            <w:pPr>
              <w:jc w:val="both"/>
              <w:rPr>
                <w:rFonts w:ascii="StobiSerif Regular" w:hAnsi="StobiSerif Regular"/>
                <w:lang w:val="sq-AL"/>
              </w:rPr>
            </w:pPr>
            <w:r w:rsidRPr="0002442F">
              <w:rPr>
                <w:rFonts w:ascii="StobiSerif Regular" w:hAnsi="StobiSerif Regular"/>
                <w:lang w:val="sq-AL"/>
              </w:rPr>
              <w:t>Намалување на количеството на депонирани биоразградливи состојки во комунален отпад на годишно ниво, изразено како</w:t>
            </w:r>
            <w:r w:rsidR="00120DBA" w:rsidRPr="0002442F">
              <w:rPr>
                <w:rFonts w:ascii="StobiSerif Regular" w:hAnsi="StobiSerif Regular"/>
                <w:lang w:val="sq-AL"/>
              </w:rPr>
              <w:t xml:space="preserve"> </w:t>
            </w:r>
            <w:r w:rsidRPr="0002442F">
              <w:rPr>
                <w:rFonts w:ascii="StobiSerif Regular" w:hAnsi="StobiSerif Regular"/>
                <w:lang w:val="sq-AL"/>
              </w:rPr>
              <w:t>намалување на процентот на биоразградливите состојки во комуналниот отпад создаден во 1995-та година (%)</w:t>
            </w:r>
          </w:p>
        </w:tc>
      </w:tr>
      <w:tr w:rsidR="00416C89" w:rsidRPr="0002442F" w14:paraId="4C8A63D5" w14:textId="77777777" w:rsidTr="00416C89">
        <w:tc>
          <w:tcPr>
            <w:tcW w:w="2254" w:type="dxa"/>
          </w:tcPr>
          <w:p w14:paraId="01EEE8D3" w14:textId="77777777" w:rsidR="00416C89" w:rsidRPr="0002442F" w:rsidRDefault="00416C89" w:rsidP="000E7458">
            <w:pPr>
              <w:jc w:val="both"/>
              <w:rPr>
                <w:rFonts w:ascii="StobiSerif Regular" w:hAnsi="StobiSerif Regular"/>
                <w:lang w:val="sq-AL"/>
              </w:rPr>
            </w:pPr>
            <w:r w:rsidRPr="0002442F">
              <w:rPr>
                <w:rFonts w:ascii="StobiSerif Regular" w:hAnsi="StobiSerif Regular"/>
                <w:lang w:val="sq-AL"/>
              </w:rPr>
              <w:t>Референта година 1995</w:t>
            </w:r>
          </w:p>
        </w:tc>
        <w:tc>
          <w:tcPr>
            <w:tcW w:w="2254" w:type="dxa"/>
          </w:tcPr>
          <w:p w14:paraId="4566A1FF" w14:textId="77777777" w:rsidR="00416C89" w:rsidRPr="0002442F" w:rsidRDefault="00E32824" w:rsidP="002603D7">
            <w:pPr>
              <w:jc w:val="center"/>
              <w:rPr>
                <w:rFonts w:ascii="StobiSerif Regular" w:hAnsi="StobiSerif Regular"/>
                <w:lang w:val="sq-AL"/>
              </w:rPr>
            </w:pPr>
            <w:r w:rsidRPr="0002442F">
              <w:rPr>
                <w:rFonts w:ascii="StobiSerif Regular" w:hAnsi="StobiSerif Regular"/>
                <w:lang w:val="sq-AL"/>
              </w:rPr>
              <w:t>305</w:t>
            </w:r>
          </w:p>
        </w:tc>
        <w:tc>
          <w:tcPr>
            <w:tcW w:w="2254" w:type="dxa"/>
          </w:tcPr>
          <w:p w14:paraId="0D618816" w14:textId="77777777" w:rsidR="00416C89" w:rsidRPr="0002442F" w:rsidRDefault="00E32824" w:rsidP="002603D7">
            <w:pPr>
              <w:jc w:val="center"/>
              <w:rPr>
                <w:rFonts w:ascii="StobiSerif Regular" w:hAnsi="StobiSerif Regular"/>
                <w:lang w:val="sq-AL"/>
              </w:rPr>
            </w:pPr>
            <w:r w:rsidRPr="0002442F">
              <w:rPr>
                <w:rFonts w:ascii="StobiSerif Regular" w:hAnsi="StobiSerif Regular"/>
                <w:lang w:val="sq-AL"/>
              </w:rPr>
              <w:t>62</w:t>
            </w:r>
          </w:p>
        </w:tc>
        <w:tc>
          <w:tcPr>
            <w:tcW w:w="2254" w:type="dxa"/>
          </w:tcPr>
          <w:p w14:paraId="71AE734E" w14:textId="77777777" w:rsidR="00416C89" w:rsidRPr="0002442F" w:rsidRDefault="00416C89" w:rsidP="000E7458">
            <w:pPr>
              <w:jc w:val="both"/>
              <w:rPr>
                <w:rFonts w:ascii="StobiSerif Regular" w:hAnsi="StobiSerif Regular"/>
                <w:lang w:val="sq-AL"/>
              </w:rPr>
            </w:pPr>
          </w:p>
        </w:tc>
      </w:tr>
      <w:tr w:rsidR="00416C89" w:rsidRPr="0002442F" w14:paraId="2EA00F27" w14:textId="77777777" w:rsidTr="00416C89">
        <w:tc>
          <w:tcPr>
            <w:tcW w:w="2254" w:type="dxa"/>
          </w:tcPr>
          <w:p w14:paraId="7424BCD1" w14:textId="77777777" w:rsidR="00416C89" w:rsidRPr="0002442F" w:rsidRDefault="00643531" w:rsidP="000E7458">
            <w:pPr>
              <w:jc w:val="both"/>
              <w:rPr>
                <w:rFonts w:ascii="StobiSerif Regular" w:hAnsi="StobiSerif Regular"/>
                <w:lang w:val="sq-AL"/>
              </w:rPr>
            </w:pPr>
            <w:r w:rsidRPr="0002442F">
              <w:rPr>
                <w:rFonts w:ascii="StobiSerif Regular" w:hAnsi="StobiSerif Regular"/>
                <w:lang w:val="sq-AL"/>
              </w:rPr>
              <w:t>2018</w:t>
            </w:r>
          </w:p>
        </w:tc>
        <w:tc>
          <w:tcPr>
            <w:tcW w:w="2254" w:type="dxa"/>
          </w:tcPr>
          <w:p w14:paraId="406C80FB" w14:textId="77777777" w:rsidR="00416C89" w:rsidRPr="0002442F" w:rsidRDefault="002603D7" w:rsidP="002603D7">
            <w:pPr>
              <w:jc w:val="center"/>
              <w:rPr>
                <w:rFonts w:ascii="StobiSerif Regular" w:hAnsi="StobiSerif Regular"/>
                <w:lang w:val="sq-AL"/>
              </w:rPr>
            </w:pPr>
            <w:r w:rsidRPr="0002442F">
              <w:rPr>
                <w:rFonts w:ascii="StobiSerif Regular" w:hAnsi="StobiSerif Regular"/>
                <w:lang w:val="sq-AL"/>
              </w:rPr>
              <w:t>302</w:t>
            </w:r>
          </w:p>
        </w:tc>
        <w:tc>
          <w:tcPr>
            <w:tcW w:w="2254" w:type="dxa"/>
          </w:tcPr>
          <w:p w14:paraId="1D9CFC1F"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61</w:t>
            </w:r>
          </w:p>
        </w:tc>
        <w:tc>
          <w:tcPr>
            <w:tcW w:w="2254" w:type="dxa"/>
          </w:tcPr>
          <w:p w14:paraId="2A80EA0F"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1</w:t>
            </w:r>
          </w:p>
        </w:tc>
      </w:tr>
      <w:tr w:rsidR="00416C89" w:rsidRPr="0002442F" w14:paraId="213539AC" w14:textId="77777777" w:rsidTr="00416C89">
        <w:tc>
          <w:tcPr>
            <w:tcW w:w="2254" w:type="dxa"/>
          </w:tcPr>
          <w:p w14:paraId="4D720C81" w14:textId="77777777" w:rsidR="00416C89" w:rsidRPr="0002442F" w:rsidRDefault="00643531" w:rsidP="000E7458">
            <w:pPr>
              <w:jc w:val="both"/>
              <w:rPr>
                <w:rFonts w:ascii="StobiSerif Regular" w:hAnsi="StobiSerif Regular"/>
                <w:lang w:val="sq-AL"/>
              </w:rPr>
            </w:pPr>
            <w:r w:rsidRPr="0002442F">
              <w:rPr>
                <w:rFonts w:ascii="StobiSerif Regular" w:hAnsi="StobiSerif Regular"/>
                <w:lang w:val="sq-AL"/>
              </w:rPr>
              <w:t>2019</w:t>
            </w:r>
          </w:p>
        </w:tc>
        <w:tc>
          <w:tcPr>
            <w:tcW w:w="2254" w:type="dxa"/>
          </w:tcPr>
          <w:p w14:paraId="2B5699B1" w14:textId="77777777" w:rsidR="00416C89" w:rsidRPr="0002442F" w:rsidRDefault="002603D7" w:rsidP="002603D7">
            <w:pPr>
              <w:jc w:val="center"/>
              <w:rPr>
                <w:rFonts w:ascii="StobiSerif Regular" w:hAnsi="StobiSerif Regular"/>
                <w:lang w:val="sq-AL"/>
              </w:rPr>
            </w:pPr>
            <w:r w:rsidRPr="0002442F">
              <w:rPr>
                <w:rFonts w:ascii="StobiSerif Regular" w:hAnsi="StobiSerif Regular"/>
                <w:lang w:val="sq-AL"/>
              </w:rPr>
              <w:t>299</w:t>
            </w:r>
          </w:p>
        </w:tc>
        <w:tc>
          <w:tcPr>
            <w:tcW w:w="2254" w:type="dxa"/>
          </w:tcPr>
          <w:p w14:paraId="3452D333"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61</w:t>
            </w:r>
          </w:p>
        </w:tc>
        <w:tc>
          <w:tcPr>
            <w:tcW w:w="2254" w:type="dxa"/>
          </w:tcPr>
          <w:p w14:paraId="687D1255"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1</w:t>
            </w:r>
          </w:p>
        </w:tc>
      </w:tr>
      <w:tr w:rsidR="00416C89" w:rsidRPr="0002442F" w14:paraId="41A76732" w14:textId="77777777" w:rsidTr="00416C89">
        <w:tc>
          <w:tcPr>
            <w:tcW w:w="2254" w:type="dxa"/>
          </w:tcPr>
          <w:p w14:paraId="11F23974" w14:textId="77777777" w:rsidR="00416C89" w:rsidRPr="0002442F" w:rsidRDefault="00643531" w:rsidP="000E7458">
            <w:pPr>
              <w:jc w:val="both"/>
              <w:rPr>
                <w:rFonts w:ascii="StobiSerif Regular" w:hAnsi="StobiSerif Regular"/>
                <w:lang w:val="sq-AL"/>
              </w:rPr>
            </w:pPr>
            <w:r w:rsidRPr="0002442F">
              <w:rPr>
                <w:rFonts w:ascii="StobiSerif Regular" w:hAnsi="StobiSerif Regular"/>
                <w:lang w:val="sq-AL"/>
              </w:rPr>
              <w:t>2020</w:t>
            </w:r>
          </w:p>
        </w:tc>
        <w:tc>
          <w:tcPr>
            <w:tcW w:w="2254" w:type="dxa"/>
          </w:tcPr>
          <w:p w14:paraId="1492D2F0" w14:textId="77777777" w:rsidR="00416C89" w:rsidRPr="0002442F" w:rsidRDefault="002603D7" w:rsidP="002603D7">
            <w:pPr>
              <w:jc w:val="center"/>
              <w:rPr>
                <w:rFonts w:ascii="StobiSerif Regular" w:hAnsi="StobiSerif Regular"/>
                <w:lang w:val="sq-AL"/>
              </w:rPr>
            </w:pPr>
            <w:r w:rsidRPr="0002442F">
              <w:rPr>
                <w:rFonts w:ascii="StobiSerif Regular" w:hAnsi="StobiSerif Regular"/>
                <w:lang w:val="sq-AL"/>
              </w:rPr>
              <w:t>296</w:t>
            </w:r>
          </w:p>
        </w:tc>
        <w:tc>
          <w:tcPr>
            <w:tcW w:w="2254" w:type="dxa"/>
          </w:tcPr>
          <w:p w14:paraId="5FB2F2B7"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60</w:t>
            </w:r>
          </w:p>
        </w:tc>
        <w:tc>
          <w:tcPr>
            <w:tcW w:w="2254" w:type="dxa"/>
          </w:tcPr>
          <w:p w14:paraId="6F1632CA"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1</w:t>
            </w:r>
          </w:p>
        </w:tc>
      </w:tr>
      <w:tr w:rsidR="00E32824" w:rsidRPr="0002442F" w14:paraId="6FCB73C3" w14:textId="77777777" w:rsidTr="00746164">
        <w:tc>
          <w:tcPr>
            <w:tcW w:w="9016" w:type="dxa"/>
            <w:gridSpan w:val="4"/>
          </w:tcPr>
          <w:p w14:paraId="4E2EADB9" w14:textId="77777777" w:rsidR="00E32824" w:rsidRPr="0002442F" w:rsidRDefault="00E32824" w:rsidP="000E7458">
            <w:pPr>
              <w:jc w:val="both"/>
              <w:rPr>
                <w:rFonts w:ascii="StobiSerif Regular" w:hAnsi="StobiSerif Regular"/>
                <w:lang w:val="sq-AL"/>
              </w:rPr>
            </w:pPr>
            <w:r w:rsidRPr="0002442F">
              <w:rPr>
                <w:rFonts w:ascii="StobiSerif Regular" w:hAnsi="StobiSerif Regular"/>
                <w:lang w:val="sq-AL"/>
              </w:rPr>
              <w:t xml:space="preserve">                                   </w:t>
            </w:r>
            <w:r w:rsidR="00643531" w:rsidRPr="0002442F">
              <w:rPr>
                <w:rFonts w:ascii="StobiSerif Regular" w:hAnsi="StobiSerif Regular"/>
                <w:lang w:val="sq-AL"/>
              </w:rPr>
              <w:t>Вкупно намалување за период 2018 – 2020</w:t>
            </w:r>
            <w:r w:rsidRPr="0002442F">
              <w:rPr>
                <w:rFonts w:ascii="StobiSerif Regular" w:hAnsi="StobiSerif Regular"/>
                <w:lang w:val="sq-AL"/>
              </w:rPr>
              <w:t xml:space="preserve"> (%)                          25.0  </w:t>
            </w:r>
          </w:p>
        </w:tc>
      </w:tr>
      <w:tr w:rsidR="00E32824" w:rsidRPr="0002442F" w14:paraId="4EE78893" w14:textId="77777777" w:rsidTr="00416C89">
        <w:tc>
          <w:tcPr>
            <w:tcW w:w="2254" w:type="dxa"/>
          </w:tcPr>
          <w:p w14:paraId="6B24ECB5"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2021</w:t>
            </w:r>
          </w:p>
        </w:tc>
        <w:tc>
          <w:tcPr>
            <w:tcW w:w="2254" w:type="dxa"/>
          </w:tcPr>
          <w:p w14:paraId="0299D91D" w14:textId="77777777" w:rsidR="00E32824" w:rsidRPr="0002442F" w:rsidRDefault="00643531" w:rsidP="002603D7">
            <w:pPr>
              <w:jc w:val="center"/>
              <w:rPr>
                <w:rFonts w:ascii="StobiSerif Regular" w:hAnsi="StobiSerif Regular"/>
                <w:lang w:val="sq-AL"/>
              </w:rPr>
            </w:pPr>
            <w:r w:rsidRPr="0002442F">
              <w:rPr>
                <w:rFonts w:ascii="StobiSerif Regular" w:hAnsi="StobiSerif Regular"/>
                <w:lang w:val="sq-AL"/>
              </w:rPr>
              <w:t>290</w:t>
            </w:r>
          </w:p>
        </w:tc>
        <w:tc>
          <w:tcPr>
            <w:tcW w:w="2254" w:type="dxa"/>
          </w:tcPr>
          <w:p w14:paraId="632ADCAA"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40</w:t>
            </w:r>
          </w:p>
        </w:tc>
        <w:tc>
          <w:tcPr>
            <w:tcW w:w="2254" w:type="dxa"/>
          </w:tcPr>
          <w:p w14:paraId="7E604943"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10</w:t>
            </w:r>
          </w:p>
        </w:tc>
      </w:tr>
      <w:tr w:rsidR="00416C89" w:rsidRPr="0002442F" w14:paraId="12BE2D00" w14:textId="77777777" w:rsidTr="00416C89">
        <w:tc>
          <w:tcPr>
            <w:tcW w:w="2254" w:type="dxa"/>
          </w:tcPr>
          <w:p w14:paraId="236F4559" w14:textId="77777777" w:rsidR="00416C89" w:rsidRPr="0002442F" w:rsidRDefault="00643531" w:rsidP="000E7458">
            <w:pPr>
              <w:jc w:val="both"/>
              <w:rPr>
                <w:rFonts w:ascii="StobiSerif Regular" w:hAnsi="StobiSerif Regular"/>
                <w:lang w:val="sq-AL"/>
              </w:rPr>
            </w:pPr>
            <w:r w:rsidRPr="0002442F">
              <w:rPr>
                <w:rFonts w:ascii="StobiSerif Regular" w:hAnsi="StobiSerif Regular"/>
                <w:lang w:val="sq-AL"/>
              </w:rPr>
              <w:t>2022</w:t>
            </w:r>
          </w:p>
        </w:tc>
        <w:tc>
          <w:tcPr>
            <w:tcW w:w="2254" w:type="dxa"/>
          </w:tcPr>
          <w:p w14:paraId="7EC427EB" w14:textId="77777777" w:rsidR="00416C89" w:rsidRPr="0002442F" w:rsidRDefault="00643531" w:rsidP="002603D7">
            <w:pPr>
              <w:jc w:val="center"/>
              <w:rPr>
                <w:rFonts w:ascii="StobiSerif Regular" w:hAnsi="StobiSerif Regular"/>
                <w:lang w:val="sq-AL"/>
              </w:rPr>
            </w:pPr>
            <w:r w:rsidRPr="0002442F">
              <w:rPr>
                <w:rFonts w:ascii="StobiSerif Regular" w:hAnsi="StobiSerif Regular"/>
                <w:lang w:val="sq-AL"/>
              </w:rPr>
              <w:t>278</w:t>
            </w:r>
          </w:p>
        </w:tc>
        <w:tc>
          <w:tcPr>
            <w:tcW w:w="2254" w:type="dxa"/>
          </w:tcPr>
          <w:p w14:paraId="463C523D"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34</w:t>
            </w:r>
          </w:p>
        </w:tc>
        <w:tc>
          <w:tcPr>
            <w:tcW w:w="2254" w:type="dxa"/>
          </w:tcPr>
          <w:p w14:paraId="132BCF58" w14:textId="77777777" w:rsidR="00416C89" w:rsidRPr="0002442F" w:rsidRDefault="003367C3" w:rsidP="003367C3">
            <w:pPr>
              <w:jc w:val="center"/>
              <w:rPr>
                <w:rFonts w:ascii="StobiSerif Regular" w:hAnsi="StobiSerif Regular"/>
                <w:lang w:val="sq-AL"/>
              </w:rPr>
            </w:pPr>
            <w:r w:rsidRPr="0002442F">
              <w:rPr>
                <w:rFonts w:ascii="StobiSerif Regular" w:hAnsi="StobiSerif Regular"/>
                <w:lang w:val="sq-AL"/>
              </w:rPr>
              <w:t>10</w:t>
            </w:r>
          </w:p>
        </w:tc>
      </w:tr>
      <w:tr w:rsidR="00E32824" w:rsidRPr="0002442F" w14:paraId="238B1F62" w14:textId="77777777" w:rsidTr="00416C89">
        <w:tc>
          <w:tcPr>
            <w:tcW w:w="2254" w:type="dxa"/>
          </w:tcPr>
          <w:p w14:paraId="24D11E29"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2023</w:t>
            </w:r>
          </w:p>
        </w:tc>
        <w:tc>
          <w:tcPr>
            <w:tcW w:w="2254" w:type="dxa"/>
          </w:tcPr>
          <w:p w14:paraId="057ED77A" w14:textId="77777777" w:rsidR="00E32824" w:rsidRPr="0002442F" w:rsidRDefault="00643531" w:rsidP="002603D7">
            <w:pPr>
              <w:jc w:val="center"/>
              <w:rPr>
                <w:rFonts w:ascii="StobiSerif Regular" w:hAnsi="StobiSerif Regular"/>
                <w:lang w:val="sq-AL"/>
              </w:rPr>
            </w:pPr>
            <w:r w:rsidRPr="0002442F">
              <w:rPr>
                <w:rFonts w:ascii="StobiSerif Regular" w:hAnsi="StobiSerif Regular"/>
                <w:lang w:val="sq-AL"/>
              </w:rPr>
              <w:t>253</w:t>
            </w:r>
          </w:p>
        </w:tc>
        <w:tc>
          <w:tcPr>
            <w:tcW w:w="2254" w:type="dxa"/>
          </w:tcPr>
          <w:p w14:paraId="6E1D08DB"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31</w:t>
            </w:r>
          </w:p>
        </w:tc>
        <w:tc>
          <w:tcPr>
            <w:tcW w:w="2254" w:type="dxa"/>
          </w:tcPr>
          <w:p w14:paraId="6AE9B9D5"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5</w:t>
            </w:r>
          </w:p>
        </w:tc>
      </w:tr>
      <w:tr w:rsidR="00E32824" w:rsidRPr="0002442F" w14:paraId="48E6647B" w14:textId="77777777" w:rsidTr="00C548C3">
        <w:tc>
          <w:tcPr>
            <w:tcW w:w="9016" w:type="dxa"/>
            <w:gridSpan w:val="4"/>
          </w:tcPr>
          <w:p w14:paraId="2B3FC7F2" w14:textId="77777777" w:rsidR="00E32824" w:rsidRPr="0002442F" w:rsidRDefault="00E32824" w:rsidP="000E7458">
            <w:pPr>
              <w:jc w:val="both"/>
              <w:rPr>
                <w:rFonts w:ascii="StobiSerif Regular" w:hAnsi="StobiSerif Regular"/>
                <w:lang w:val="sq-AL"/>
              </w:rPr>
            </w:pPr>
            <w:r w:rsidRPr="0002442F">
              <w:rPr>
                <w:rFonts w:ascii="StobiSerif Regular" w:hAnsi="StobiSerif Regular"/>
                <w:lang w:val="sq-AL"/>
              </w:rPr>
              <w:t xml:space="preserve">                                   </w:t>
            </w:r>
            <w:r w:rsidR="00643531" w:rsidRPr="0002442F">
              <w:rPr>
                <w:rFonts w:ascii="StobiSerif Regular" w:hAnsi="StobiSerif Regular"/>
                <w:lang w:val="sq-AL"/>
              </w:rPr>
              <w:t>Вкупно намалување за период 2021 – 2023</w:t>
            </w:r>
            <w:r w:rsidRPr="0002442F">
              <w:rPr>
                <w:rFonts w:ascii="StobiSerif Regular" w:hAnsi="StobiSerif Regular"/>
                <w:lang w:val="sq-AL"/>
              </w:rPr>
              <w:t xml:space="preserve"> (%)                          50.0  </w:t>
            </w:r>
          </w:p>
        </w:tc>
      </w:tr>
      <w:tr w:rsidR="00E32824" w:rsidRPr="0002442F" w14:paraId="2501C62A" w14:textId="77777777" w:rsidTr="00416C89">
        <w:tc>
          <w:tcPr>
            <w:tcW w:w="2254" w:type="dxa"/>
          </w:tcPr>
          <w:p w14:paraId="49A9AD28"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2023</w:t>
            </w:r>
          </w:p>
        </w:tc>
        <w:tc>
          <w:tcPr>
            <w:tcW w:w="2254" w:type="dxa"/>
          </w:tcPr>
          <w:p w14:paraId="0D64B5A5" w14:textId="77777777" w:rsidR="00E32824" w:rsidRPr="0002442F" w:rsidRDefault="002603D7" w:rsidP="002603D7">
            <w:pPr>
              <w:jc w:val="center"/>
              <w:rPr>
                <w:rFonts w:ascii="StobiSerif Regular" w:hAnsi="StobiSerif Regular"/>
                <w:lang w:val="sq-AL"/>
              </w:rPr>
            </w:pPr>
            <w:r w:rsidRPr="0002442F">
              <w:rPr>
                <w:rFonts w:ascii="StobiSerif Regular" w:hAnsi="StobiSerif Regular"/>
                <w:lang w:val="sq-AL"/>
              </w:rPr>
              <w:t>143</w:t>
            </w:r>
          </w:p>
        </w:tc>
        <w:tc>
          <w:tcPr>
            <w:tcW w:w="2254" w:type="dxa"/>
          </w:tcPr>
          <w:p w14:paraId="6B9933CF"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29</w:t>
            </w:r>
          </w:p>
        </w:tc>
        <w:tc>
          <w:tcPr>
            <w:tcW w:w="2254" w:type="dxa"/>
          </w:tcPr>
          <w:p w14:paraId="6F65873B"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3</w:t>
            </w:r>
          </w:p>
        </w:tc>
      </w:tr>
      <w:tr w:rsidR="00E32824" w:rsidRPr="0002442F" w14:paraId="7F2A00D3" w14:textId="77777777" w:rsidTr="00416C89">
        <w:tc>
          <w:tcPr>
            <w:tcW w:w="2254" w:type="dxa"/>
          </w:tcPr>
          <w:p w14:paraId="501C0A1B"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2024</w:t>
            </w:r>
          </w:p>
        </w:tc>
        <w:tc>
          <w:tcPr>
            <w:tcW w:w="2254" w:type="dxa"/>
          </w:tcPr>
          <w:p w14:paraId="5EBC8745" w14:textId="77777777" w:rsidR="00E32824" w:rsidRPr="0002442F" w:rsidRDefault="002603D7" w:rsidP="002603D7">
            <w:pPr>
              <w:jc w:val="center"/>
              <w:rPr>
                <w:rFonts w:ascii="StobiSerif Regular" w:hAnsi="StobiSerif Regular"/>
                <w:lang w:val="sq-AL"/>
              </w:rPr>
            </w:pPr>
            <w:r w:rsidRPr="0002442F">
              <w:rPr>
                <w:rFonts w:ascii="StobiSerif Regular" w:hAnsi="StobiSerif Regular"/>
                <w:lang w:val="sq-AL"/>
              </w:rPr>
              <w:t>134</w:t>
            </w:r>
          </w:p>
        </w:tc>
        <w:tc>
          <w:tcPr>
            <w:tcW w:w="2254" w:type="dxa"/>
          </w:tcPr>
          <w:p w14:paraId="019E5DA1"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27</w:t>
            </w:r>
          </w:p>
        </w:tc>
        <w:tc>
          <w:tcPr>
            <w:tcW w:w="2254" w:type="dxa"/>
          </w:tcPr>
          <w:p w14:paraId="337A8AC2"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3</w:t>
            </w:r>
          </w:p>
        </w:tc>
      </w:tr>
      <w:tr w:rsidR="00E32824" w:rsidRPr="0002442F" w14:paraId="190CF214" w14:textId="77777777" w:rsidTr="00416C89">
        <w:tc>
          <w:tcPr>
            <w:tcW w:w="2254" w:type="dxa"/>
          </w:tcPr>
          <w:p w14:paraId="096EADE2"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2025</w:t>
            </w:r>
          </w:p>
        </w:tc>
        <w:tc>
          <w:tcPr>
            <w:tcW w:w="2254" w:type="dxa"/>
          </w:tcPr>
          <w:p w14:paraId="76115F56" w14:textId="77777777" w:rsidR="00E32824" w:rsidRPr="0002442F" w:rsidRDefault="002603D7" w:rsidP="002603D7">
            <w:pPr>
              <w:jc w:val="center"/>
              <w:rPr>
                <w:rFonts w:ascii="StobiSerif Regular" w:hAnsi="StobiSerif Regular"/>
                <w:lang w:val="sq-AL"/>
              </w:rPr>
            </w:pPr>
            <w:r w:rsidRPr="0002442F">
              <w:rPr>
                <w:rFonts w:ascii="StobiSerif Regular" w:hAnsi="StobiSerif Regular"/>
                <w:lang w:val="sq-AL"/>
              </w:rPr>
              <w:t>125</w:t>
            </w:r>
          </w:p>
        </w:tc>
        <w:tc>
          <w:tcPr>
            <w:tcW w:w="2254" w:type="dxa"/>
          </w:tcPr>
          <w:p w14:paraId="138354D7"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25</w:t>
            </w:r>
          </w:p>
        </w:tc>
        <w:tc>
          <w:tcPr>
            <w:tcW w:w="2254" w:type="dxa"/>
          </w:tcPr>
          <w:p w14:paraId="305A737B"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3</w:t>
            </w:r>
          </w:p>
        </w:tc>
      </w:tr>
      <w:tr w:rsidR="00E32824" w:rsidRPr="0002442F" w14:paraId="13F105D5" w14:textId="77777777" w:rsidTr="00416C89">
        <w:tc>
          <w:tcPr>
            <w:tcW w:w="2254" w:type="dxa"/>
          </w:tcPr>
          <w:p w14:paraId="20AFAC2E"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2026</w:t>
            </w:r>
          </w:p>
        </w:tc>
        <w:tc>
          <w:tcPr>
            <w:tcW w:w="2254" w:type="dxa"/>
          </w:tcPr>
          <w:p w14:paraId="0E6D1C0F" w14:textId="77777777" w:rsidR="00E32824" w:rsidRPr="0002442F" w:rsidRDefault="002603D7" w:rsidP="002603D7">
            <w:pPr>
              <w:jc w:val="center"/>
              <w:rPr>
                <w:rFonts w:ascii="StobiSerif Regular" w:hAnsi="StobiSerif Regular"/>
                <w:lang w:val="sq-AL"/>
              </w:rPr>
            </w:pPr>
            <w:r w:rsidRPr="0002442F">
              <w:rPr>
                <w:rFonts w:ascii="StobiSerif Regular" w:hAnsi="StobiSerif Regular"/>
                <w:lang w:val="sq-AL"/>
              </w:rPr>
              <w:t>119</w:t>
            </w:r>
          </w:p>
        </w:tc>
        <w:tc>
          <w:tcPr>
            <w:tcW w:w="2254" w:type="dxa"/>
          </w:tcPr>
          <w:p w14:paraId="0ADA1989"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24</w:t>
            </w:r>
          </w:p>
        </w:tc>
        <w:tc>
          <w:tcPr>
            <w:tcW w:w="2254" w:type="dxa"/>
          </w:tcPr>
          <w:p w14:paraId="6C124514"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w:t>
            </w:r>
          </w:p>
        </w:tc>
      </w:tr>
      <w:tr w:rsidR="00E32824" w:rsidRPr="0002442F" w14:paraId="631AEE9F" w14:textId="77777777" w:rsidTr="00416C89">
        <w:tc>
          <w:tcPr>
            <w:tcW w:w="2254" w:type="dxa"/>
          </w:tcPr>
          <w:p w14:paraId="20796FB5" w14:textId="77777777" w:rsidR="00E32824" w:rsidRPr="0002442F" w:rsidRDefault="00643531" w:rsidP="000E7458">
            <w:pPr>
              <w:jc w:val="both"/>
              <w:rPr>
                <w:rFonts w:ascii="StobiSerif Regular" w:hAnsi="StobiSerif Regular"/>
                <w:lang w:val="sq-AL"/>
              </w:rPr>
            </w:pPr>
            <w:r w:rsidRPr="0002442F">
              <w:rPr>
                <w:rFonts w:ascii="StobiSerif Regular" w:hAnsi="StobiSerif Regular"/>
                <w:lang w:val="sq-AL"/>
              </w:rPr>
              <w:t>2027-203</w:t>
            </w:r>
            <w:r w:rsidR="00E32824" w:rsidRPr="0002442F">
              <w:rPr>
                <w:rFonts w:ascii="StobiSerif Regular" w:hAnsi="StobiSerif Regular"/>
                <w:lang w:val="sq-AL"/>
              </w:rPr>
              <w:t>7</w:t>
            </w:r>
          </w:p>
        </w:tc>
        <w:tc>
          <w:tcPr>
            <w:tcW w:w="2254" w:type="dxa"/>
          </w:tcPr>
          <w:p w14:paraId="6DBF367D" w14:textId="77777777" w:rsidR="00E32824" w:rsidRPr="0002442F" w:rsidRDefault="002603D7" w:rsidP="002603D7">
            <w:pPr>
              <w:jc w:val="center"/>
              <w:rPr>
                <w:rFonts w:ascii="StobiSerif Regular" w:hAnsi="StobiSerif Regular"/>
                <w:lang w:val="sq-AL"/>
              </w:rPr>
            </w:pPr>
            <w:r w:rsidRPr="0002442F">
              <w:rPr>
                <w:rFonts w:ascii="StobiSerif Regular" w:hAnsi="StobiSerif Regular"/>
                <w:lang w:val="sq-AL"/>
              </w:rPr>
              <w:t>107</w:t>
            </w:r>
          </w:p>
        </w:tc>
        <w:tc>
          <w:tcPr>
            <w:tcW w:w="2254" w:type="dxa"/>
          </w:tcPr>
          <w:p w14:paraId="5B9A3B0A"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22</w:t>
            </w:r>
          </w:p>
        </w:tc>
        <w:tc>
          <w:tcPr>
            <w:tcW w:w="2254" w:type="dxa"/>
          </w:tcPr>
          <w:p w14:paraId="46D7E28C" w14:textId="77777777" w:rsidR="00E32824" w:rsidRPr="0002442F" w:rsidRDefault="003367C3" w:rsidP="003367C3">
            <w:pPr>
              <w:jc w:val="center"/>
              <w:rPr>
                <w:rFonts w:ascii="StobiSerif Regular" w:hAnsi="StobiSerif Regular"/>
                <w:lang w:val="sq-AL"/>
              </w:rPr>
            </w:pPr>
            <w:r w:rsidRPr="0002442F">
              <w:rPr>
                <w:rFonts w:ascii="StobiSerif Regular" w:hAnsi="StobiSerif Regular"/>
                <w:lang w:val="sq-AL"/>
              </w:rPr>
              <w:t>4</w:t>
            </w:r>
          </w:p>
        </w:tc>
      </w:tr>
      <w:tr w:rsidR="00E32824" w:rsidRPr="0002442F" w14:paraId="307AB487" w14:textId="77777777" w:rsidTr="00F733D2">
        <w:tc>
          <w:tcPr>
            <w:tcW w:w="9016" w:type="dxa"/>
            <w:gridSpan w:val="4"/>
          </w:tcPr>
          <w:p w14:paraId="1B413AD5" w14:textId="77777777" w:rsidR="00E32824" w:rsidRPr="0002442F" w:rsidRDefault="00E32824" w:rsidP="000E7458">
            <w:pPr>
              <w:jc w:val="both"/>
              <w:rPr>
                <w:rFonts w:ascii="StobiSerif Regular" w:hAnsi="StobiSerif Regular"/>
                <w:lang w:val="sq-AL"/>
              </w:rPr>
            </w:pPr>
            <w:r w:rsidRPr="0002442F">
              <w:rPr>
                <w:rFonts w:ascii="StobiSerif Regular" w:hAnsi="StobiSerif Regular"/>
                <w:lang w:val="sq-AL"/>
              </w:rPr>
              <w:t xml:space="preserve">                                  Вкупно намалување за период </w:t>
            </w:r>
            <w:r w:rsidR="00530E7C" w:rsidRPr="0002442F">
              <w:rPr>
                <w:rFonts w:ascii="StobiSerif Regular" w:hAnsi="StobiSerif Regular"/>
                <w:lang w:val="sq-AL"/>
              </w:rPr>
              <w:t>2023 – 203</w:t>
            </w:r>
            <w:r w:rsidRPr="0002442F">
              <w:rPr>
                <w:rFonts w:ascii="StobiSerif Regular" w:hAnsi="StobiSerif Regular"/>
                <w:lang w:val="sq-AL"/>
              </w:rPr>
              <w:t>7 (%)                          65.0</w:t>
            </w:r>
          </w:p>
        </w:tc>
      </w:tr>
    </w:tbl>
    <w:p w14:paraId="6E6C6CE4" w14:textId="77777777" w:rsidR="00530E7C" w:rsidRPr="0002442F" w:rsidRDefault="00530E7C" w:rsidP="000E7458">
      <w:pPr>
        <w:jc w:val="both"/>
        <w:rPr>
          <w:rFonts w:ascii="StobiSerif Regular" w:hAnsi="StobiSerif Regular"/>
          <w:lang w:val="sq-AL"/>
        </w:rPr>
      </w:pPr>
    </w:p>
    <w:p w14:paraId="509A5C77" w14:textId="77777777" w:rsidR="00530E7C" w:rsidRPr="0002442F" w:rsidRDefault="00530E7C" w:rsidP="00530E7C">
      <w:pPr>
        <w:rPr>
          <w:rFonts w:ascii="StobiSerif Regular" w:hAnsi="StobiSerif Regular"/>
          <w:lang w:val="sq-AL"/>
        </w:rPr>
      </w:pPr>
    </w:p>
    <w:p w14:paraId="4CDA21F6" w14:textId="61DB799E" w:rsidR="001F1F40" w:rsidRPr="0002442F" w:rsidRDefault="00530E7C" w:rsidP="00530E7C">
      <w:pPr>
        <w:jc w:val="both"/>
        <w:rPr>
          <w:rFonts w:ascii="StobiSerif Regular" w:hAnsi="StobiSerif Regular"/>
          <w:lang w:val="sq-AL"/>
        </w:rPr>
      </w:pPr>
      <w:r w:rsidRPr="0002442F">
        <w:rPr>
          <w:rFonts w:ascii="StobiSerif Regular" w:hAnsi="StobiSerif Regular"/>
          <w:lang w:val="sq-AL"/>
        </w:rPr>
        <w:lastRenderedPageBreak/>
        <w:t>* Количина на биоразградливи компоненти во комуналниот отпад генерирана во основната 1995 година во РМ, пресметана врз основа на проценката дека во периодот 1995-2005 година, стапката на раст на создавање комунален отпад беше 1,5% на годишно ниво, додека биоразградливите компоненти во комуналниот отпад секоја година претставуваше 62% од учеството на масата, во согласност со Националниот план за управување со отпад (2009-2015), количината на комунален отпад генерирана во 2005 година во Македонија беше 572,000 тони.</w:t>
      </w:r>
    </w:p>
    <w:p w14:paraId="3BD585E7" w14:textId="77777777" w:rsidR="001F1F40" w:rsidRPr="0002442F" w:rsidRDefault="001F1F40">
      <w:pPr>
        <w:rPr>
          <w:rFonts w:ascii="StobiSerif Regular" w:hAnsi="StobiSerif Regular"/>
          <w:lang w:val="sq-AL"/>
        </w:rPr>
      </w:pPr>
      <w:r w:rsidRPr="0002442F">
        <w:rPr>
          <w:rFonts w:ascii="StobiSerif Regular" w:hAnsi="StobiSerif Regular"/>
          <w:lang w:val="sq-AL"/>
        </w:rPr>
        <w:br w:type="page"/>
      </w:r>
    </w:p>
    <w:p w14:paraId="097ED127" w14:textId="3D11CACA"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lastRenderedPageBreak/>
        <w:t xml:space="preserve">Në bazë të nenit 79 paragrafi (5) të Ligjit për menaxhimin e mbeturinave (“Gazeta zyrtare e Republikës së Maqedonisë së Veriut” nr. </w:t>
      </w:r>
      <w:r w:rsidR="00F43411" w:rsidRPr="0002442F">
        <w:rPr>
          <w:rFonts w:ascii="StobiSerif Regular" w:hAnsi="StobiSerif Regular"/>
          <w:lang w:val="sq-AL"/>
        </w:rPr>
        <w:t>216</w:t>
      </w:r>
      <w:r w:rsidRPr="0002442F">
        <w:rPr>
          <w:rFonts w:ascii="StobiSerif Regular" w:hAnsi="StobiSerif Regular"/>
          <w:lang w:val="sq-AL"/>
        </w:rPr>
        <w:t>/21), Ministri i Mjedisit Jetësor dhe Planifikimit Hapësinor, miratoi</w:t>
      </w:r>
    </w:p>
    <w:p w14:paraId="612A7DAA" w14:textId="77777777" w:rsidR="001F1F40" w:rsidRPr="0002442F" w:rsidRDefault="001F1F40" w:rsidP="001F1F40">
      <w:pPr>
        <w:jc w:val="both"/>
        <w:rPr>
          <w:rFonts w:ascii="StobiSerif Regular" w:hAnsi="StobiSerif Regular"/>
          <w:lang w:val="sq-AL"/>
        </w:rPr>
      </w:pPr>
    </w:p>
    <w:p w14:paraId="3623BAF3" w14:textId="77777777" w:rsidR="001F1F40" w:rsidRPr="0002442F" w:rsidRDefault="001F1F40" w:rsidP="001F1F40">
      <w:pPr>
        <w:jc w:val="center"/>
        <w:rPr>
          <w:rFonts w:ascii="StobiSerif Regular" w:hAnsi="StobiSerif Regular"/>
          <w:b/>
          <w:lang w:val="sq-AL"/>
        </w:rPr>
      </w:pPr>
      <w:r w:rsidRPr="0002442F">
        <w:rPr>
          <w:rFonts w:ascii="StobiSerif Regular" w:hAnsi="StobiSerif Regular"/>
          <w:b/>
          <w:lang w:val="sq-AL"/>
        </w:rPr>
        <w:t>RREGULLORE PËR SASINË E PËRBËRËSVE TË BIODEGRADUESHME</w:t>
      </w:r>
    </w:p>
    <w:p w14:paraId="13C7CE1A" w14:textId="316AEE19" w:rsidR="001F1F40" w:rsidRPr="0002442F" w:rsidRDefault="001F1F40" w:rsidP="001F1F40">
      <w:pPr>
        <w:jc w:val="center"/>
        <w:rPr>
          <w:rFonts w:ascii="StobiSerif Regular" w:hAnsi="StobiSerif Regular"/>
          <w:lang w:val="sq-AL"/>
        </w:rPr>
      </w:pPr>
      <w:r w:rsidRPr="0002442F">
        <w:rPr>
          <w:rFonts w:ascii="StobiSerif Regular" w:hAnsi="StobiSerif Regular"/>
          <w:b/>
          <w:lang w:val="sq-AL"/>
        </w:rPr>
        <w:t>NË MBETURINA QË MUND TË DEPONOHEN (</w:t>
      </w:r>
      <w:r w:rsidR="008F77D9" w:rsidRPr="0002442F">
        <w:rPr>
          <w:rStyle w:val="FootnoteReference"/>
          <w:rFonts w:ascii="StobiSerif Regular" w:hAnsi="StobiSerif Regular"/>
          <w:b/>
          <w:color w:val="FFFFFF" w:themeColor="background1"/>
          <w:lang w:val="sq-AL"/>
        </w:rPr>
        <w:footnoteReference w:id="2"/>
      </w:r>
      <w:r w:rsidRPr="0002442F">
        <w:rPr>
          <w:rFonts w:ascii="StobiSerif Regular" w:hAnsi="StobiSerif Regular"/>
          <w:b/>
          <w:lang w:val="sq-AL"/>
        </w:rPr>
        <w:t>*)</w:t>
      </w:r>
    </w:p>
    <w:p w14:paraId="733A7C68"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1</w:t>
      </w:r>
    </w:p>
    <w:p w14:paraId="25C38E21" w14:textId="3D339C58"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Me këtë rregullore përcaktohet </w:t>
      </w:r>
      <w:r w:rsidR="0002442F" w:rsidRPr="0002442F">
        <w:rPr>
          <w:rFonts w:ascii="StobiSerif Regular" w:hAnsi="StobiSerif Regular"/>
          <w:lang w:val="sq-AL"/>
        </w:rPr>
        <w:t>sasia</w:t>
      </w:r>
      <w:r w:rsidRPr="0002442F">
        <w:rPr>
          <w:rFonts w:ascii="StobiSerif Regular" w:hAnsi="StobiSerif Regular"/>
          <w:lang w:val="sq-AL"/>
        </w:rPr>
        <w:t xml:space="preserve"> e përbërësve të biodegradueshëm në mbeturinat që mund të deponohen.</w:t>
      </w:r>
    </w:p>
    <w:p w14:paraId="5A3054A3"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2</w:t>
      </w:r>
    </w:p>
    <w:p w14:paraId="0B2BEA74"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Qëllimi i kësaj Rregulloreje është të zvogëlojë sasinë e përbërsve të biodegradueshëm në mbeturinat që depozitohen përmes aplikimit të parandalimit, riciklimit, kompostimit, prodhimit të biogazit, apo mënyrave të tjera të shfrytëzimit të lëndës dhe energjisë së mbeturinave të biodegradueshme, për shkak të:</w:t>
      </w:r>
    </w:p>
    <w:p w14:paraId="2ECE1392"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reduktimit të emetimeve të gazrave serrë që shkaktojnë ngrohjen globale,</w:t>
      </w:r>
    </w:p>
    <w:p w14:paraId="32D1A10E"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ruajtja e burimeve natyrore,</w:t>
      </w:r>
    </w:p>
    <w:p w14:paraId="2F1C67D6"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shmangia e shfrytëzimit të padobishëm të tokës.</w:t>
      </w:r>
    </w:p>
    <w:p w14:paraId="6FC836BC"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reduktimin e varësisë nga lëndët djegëse fosile,</w:t>
      </w:r>
    </w:p>
    <w:p w14:paraId="6EE8BAC3"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stimulimin e aktiviteteve ekonomike dhe industrisë, veçanërisht në zonat rurale, dhe</w:t>
      </w:r>
    </w:p>
    <w:p w14:paraId="7151BD67"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parandalimi ose zvogëlimi i ndikimit negativ të përbërësve të biodegradueshëm të mbetjeve që depozitohen në cilësinë e meseve të mjedisit jetësor dhe në rreziqet për jetën dhe shëndetin e njeriut.</w:t>
      </w:r>
    </w:p>
    <w:p w14:paraId="67DC0E47" w14:textId="77777777" w:rsidR="001F1F40" w:rsidRPr="0002442F" w:rsidRDefault="001F1F40" w:rsidP="001F1F40">
      <w:pPr>
        <w:jc w:val="both"/>
        <w:rPr>
          <w:rFonts w:ascii="StobiSerif Regular" w:hAnsi="StobiSerif Regular"/>
          <w:lang w:val="sq-AL"/>
        </w:rPr>
      </w:pPr>
    </w:p>
    <w:p w14:paraId="001CAF5C"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3</w:t>
      </w:r>
    </w:p>
    <w:p w14:paraId="67800FAC"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Disa terma specifik të përdorur në këtë Rregullore kanë këtë kuptim:</w:t>
      </w:r>
    </w:p>
    <w:p w14:paraId="36E61C9E"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1. </w:t>
      </w:r>
      <w:r w:rsidRPr="0002442F">
        <w:rPr>
          <w:rFonts w:ascii="StobiSerif Regular" w:hAnsi="StobiSerif Regular"/>
          <w:b/>
          <w:lang w:val="sq-AL"/>
        </w:rPr>
        <w:t>Mbeturinat e përziera komunale</w:t>
      </w:r>
      <w:r w:rsidRPr="0002442F">
        <w:rPr>
          <w:rFonts w:ascii="StobiSerif Regular" w:hAnsi="StobiSerif Regular"/>
          <w:lang w:val="sq-AL"/>
        </w:rPr>
        <w:t xml:space="preserve"> janë mbetjet të cilat në Listën e llojeve të mbeturinave i përkasin nëngrupit mbetje me kodin 20 03 01;</w:t>
      </w:r>
    </w:p>
    <w:p w14:paraId="34E4A72D" w14:textId="69616AE5"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2. </w:t>
      </w:r>
      <w:r w:rsidRPr="0002442F">
        <w:rPr>
          <w:rFonts w:ascii="StobiSerif Regular" w:hAnsi="StobiSerif Regular"/>
          <w:b/>
          <w:lang w:val="sq-AL"/>
        </w:rPr>
        <w:t>Mbetjet e biodegradueshme</w:t>
      </w:r>
      <w:r w:rsidRPr="0002442F">
        <w:rPr>
          <w:rFonts w:ascii="StobiSerif Regular" w:hAnsi="StobiSerif Regular"/>
          <w:lang w:val="sq-AL"/>
        </w:rPr>
        <w:t xml:space="preserve"> janë mbeturinat nga kopshtet dhe parqet, ushqimet dhe kuzhinat e amvisërive, institucioneve, tregtia me pakicë, aktivitetet e </w:t>
      </w:r>
      <w:r w:rsidR="0002442F" w:rsidRPr="0002442F">
        <w:rPr>
          <w:rFonts w:ascii="StobiSerif Regular" w:hAnsi="StobiSerif Regular"/>
          <w:lang w:val="sq-AL"/>
        </w:rPr>
        <w:t>hotelerisë</w:t>
      </w:r>
      <w:r w:rsidRPr="0002442F">
        <w:rPr>
          <w:rFonts w:ascii="StobiSerif Regular" w:hAnsi="StobiSerif Regular"/>
          <w:lang w:val="sq-AL"/>
        </w:rPr>
        <w:t xml:space="preserve"> (restorante, menza, hotele, hoteleri etj.) dhe të ngjashme, letra, kartoni, tekstilet dhe </w:t>
      </w:r>
      <w:r w:rsidRPr="0002442F">
        <w:rPr>
          <w:rFonts w:ascii="StobiSerif Regular" w:hAnsi="StobiSerif Regular"/>
          <w:lang w:val="sq-AL"/>
        </w:rPr>
        <w:lastRenderedPageBreak/>
        <w:t>mbetje të tjera që mund të dekompozohen nga proceset e dekompozimit aerobik dhe/ose anaerobik;</w:t>
      </w:r>
    </w:p>
    <w:p w14:paraId="72A6F3CA"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3. </w:t>
      </w:r>
      <w:r w:rsidRPr="0002442F">
        <w:rPr>
          <w:rFonts w:ascii="StobiSerif Regular" w:hAnsi="StobiSerif Regular"/>
          <w:b/>
          <w:lang w:val="sq-AL"/>
        </w:rPr>
        <w:t>Masat parandaluese</w:t>
      </w:r>
      <w:r w:rsidRPr="0002442F">
        <w:rPr>
          <w:rFonts w:ascii="StobiSerif Regular" w:hAnsi="StobiSerif Regular"/>
          <w:lang w:val="sq-AL"/>
        </w:rPr>
        <w:t xml:space="preserve"> janë masat e ndërmarra përpara se substancat, materialet dhe produktet e biodegradueshme të bëhen mbetje (përfshirë ripërdorimin e tyre), të cilat reduktojnë:</w:t>
      </w:r>
    </w:p>
    <w:p w14:paraId="09E3706A"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sasia e mbeturinave,</w:t>
      </w:r>
    </w:p>
    <w:p w14:paraId="755C58DD"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përmbajtjen e substancave të rrezikshme, dhe</w:t>
      </w:r>
    </w:p>
    <w:p w14:paraId="72CA05A0"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rreziqet për shëndetin e njeriut dhe mjedisin jetësor;</w:t>
      </w:r>
    </w:p>
    <w:p w14:paraId="4B46C854"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4.</w:t>
      </w:r>
      <w:r w:rsidRPr="0002442F">
        <w:rPr>
          <w:rFonts w:ascii="StobiSerif Regular" w:hAnsi="StobiSerif Regular"/>
          <w:b/>
          <w:lang w:val="sq-AL"/>
        </w:rPr>
        <w:t xml:space="preserve"> Kompostimi</w:t>
      </w:r>
      <w:r w:rsidRPr="0002442F">
        <w:rPr>
          <w:rFonts w:ascii="StobiSerif Regular" w:hAnsi="StobiSerif Regular"/>
          <w:lang w:val="sq-AL"/>
        </w:rPr>
        <w:t xml:space="preserve"> është zbërthimi aerobik (biologjik), autotermik (vetënxemje), termofilik (midis 40 deri në 80 gradë Celsius), dhe stabilizimi i mbetjeve të biodegradueshme të grumbulluara në mënyrë selektive deri në kompost, si rezultat i aktivitetit biologjik të mikro dhe makro organizmave. ;</w:t>
      </w:r>
    </w:p>
    <w:p w14:paraId="75802C6F"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5. </w:t>
      </w:r>
      <w:r w:rsidRPr="0002442F">
        <w:rPr>
          <w:rFonts w:ascii="StobiSerif Regular" w:hAnsi="StobiSerif Regular"/>
          <w:b/>
          <w:lang w:val="sq-AL"/>
        </w:rPr>
        <w:t>Biogazi</w:t>
      </w:r>
      <w:r w:rsidRPr="0002442F">
        <w:rPr>
          <w:rFonts w:ascii="StobiSerif Regular" w:hAnsi="StobiSerif Regular"/>
          <w:lang w:val="sq-AL"/>
        </w:rPr>
        <w:t xml:space="preserve"> është një përzierje e metanit (CH</w:t>
      </w:r>
      <w:r w:rsidRPr="0002442F">
        <w:rPr>
          <w:rFonts w:ascii="StobiSerif Regular" w:hAnsi="StobiSerif Regular"/>
          <w:vertAlign w:val="subscript"/>
          <w:lang w:val="sq-AL"/>
        </w:rPr>
        <w:t>4</w:t>
      </w:r>
      <w:r w:rsidRPr="0002442F">
        <w:rPr>
          <w:rFonts w:ascii="StobiSerif Regular" w:hAnsi="StobiSerif Regular"/>
          <w:lang w:val="sq-AL"/>
        </w:rPr>
        <w:t>), dioksidit të karbonit (CO</w:t>
      </w:r>
      <w:r w:rsidRPr="0002442F">
        <w:rPr>
          <w:rFonts w:ascii="StobiSerif Regular" w:hAnsi="StobiSerif Regular"/>
          <w:vertAlign w:val="subscript"/>
          <w:lang w:val="sq-AL"/>
        </w:rPr>
        <w:t>2</w:t>
      </w:r>
      <w:r w:rsidRPr="0002442F">
        <w:rPr>
          <w:rFonts w:ascii="StobiSerif Regular" w:hAnsi="StobiSerif Regular"/>
          <w:lang w:val="sq-AL"/>
        </w:rPr>
        <w:t>) dhe gazeve të tjera të krijuara nga dekompozimi anaerobik i kontrolluar i mbetjeve të biodegradueshme;</w:t>
      </w:r>
    </w:p>
    <w:p w14:paraId="51358A12"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6.</w:t>
      </w:r>
      <w:r w:rsidRPr="0002442F">
        <w:rPr>
          <w:rFonts w:ascii="StobiSerif Regular" w:hAnsi="StobiSerif Regular"/>
          <w:b/>
          <w:lang w:val="sq-AL"/>
        </w:rPr>
        <w:t>Trajtimi mekaniko-biologjik (TMB)</w:t>
      </w:r>
      <w:r w:rsidRPr="0002442F">
        <w:rPr>
          <w:rFonts w:ascii="StobiSerif Regular" w:hAnsi="StobiSerif Regular"/>
          <w:lang w:val="sq-AL"/>
        </w:rPr>
        <w:t xml:space="preserve"> është trajtimi i mbetjeve përpara deponimit ose djegies/shkrumbërimin e tyre, dhe përfshin një kombinim të operacioneve mekanike dhe të tjera fizike (p.sh., copëtimi, thërrmimi, klasifikimi) me operacionet biologjike (kompostimi, dekompozimi anaerobik), ndërsa zbatimi i operacioneve mekanike dhe fizike synon ndarjen e përbërësve të mbetjeve që nuk janë të biodegradueshme, gjë që përmirëson biodegradueshmërinë dhe homogjenitetin e masës së mbetur të mbetjeve dhe aplikimi i operacioneve biologjike synon zbërthimin e përbërësve të mbetjeve organike me procese aerobe ose procese anaerobe të ndjekura nga procese shtesë aerobike. Ky trajtim siguron një reduktim të ndjeshëm të përbërësve të biodegradueshëm të mbetjeve, vëllimin e mbetjeve, përmbajtjen e ujit në mbetje, mundësinë e krijimit të gazit të deponisël (veçanërisht metanin) dhe një përmirësim të ndjeshëm në karakteristikat e kullimit të deponisë dhe stabilitetin e mbetjeve të deponuara.</w:t>
      </w:r>
    </w:p>
    <w:p w14:paraId="0DFEB62D" w14:textId="77777777" w:rsidR="001F1F40" w:rsidRPr="0002442F" w:rsidRDefault="001F1F40" w:rsidP="001F1F40">
      <w:pPr>
        <w:jc w:val="both"/>
        <w:rPr>
          <w:rFonts w:ascii="StobiSerif Regular" w:hAnsi="StobiSerif Regular"/>
          <w:lang w:val="sq-AL"/>
        </w:rPr>
      </w:pPr>
    </w:p>
    <w:p w14:paraId="7F9F8375"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4</w:t>
      </w:r>
    </w:p>
    <w:p w14:paraId="258318AA" w14:textId="49FB36A6"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Sasia e përgjithshme e </w:t>
      </w:r>
      <w:r w:rsidR="0002442F" w:rsidRPr="0002442F">
        <w:rPr>
          <w:rFonts w:ascii="StobiSerif Regular" w:hAnsi="StobiSerif Regular"/>
          <w:lang w:val="sq-AL"/>
        </w:rPr>
        <w:t>përbërësve</w:t>
      </w:r>
      <w:r w:rsidRPr="0002442F">
        <w:rPr>
          <w:rFonts w:ascii="StobiSerif Regular" w:hAnsi="StobiSerif Regular"/>
          <w:lang w:val="sq-AL"/>
        </w:rPr>
        <w:t xml:space="preserve"> të biodegradueshëm në mbeturinat komunale që mund të deponohen në të gjitha deponitë e mbeturinave jo të rrezikshme në Republikën e Maqedonisë së Veriut gjatë çdo viti kalendarik është sasia e dhënë në Shtojcën, e cili është pjesë përbërëse e kësaj Rregulloreje.</w:t>
      </w:r>
    </w:p>
    <w:p w14:paraId="315600A9"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5</w:t>
      </w:r>
    </w:p>
    <w:p w14:paraId="4B641123"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lastRenderedPageBreak/>
        <w:t>(1) Operatori i deponisë së mbeturinave jo të rrezikshme, në çdo vit kalendarik mund të deponojë mbeturinat komunale në të cilat pjesa e masës së e përbërësve të biodegradueshëm nuk e kalon pjesën masës të përbërësve të biodegradueshëm nga sasia e përgjithshme e mbeturinave komunale të depozituara në deponitë në Republikën e Maqedonisë së Veriut në vitin kalendarik aktual i dhënë në Shtojcën e kësaj Rregulloreje.</w:t>
      </w:r>
    </w:p>
    <w:p w14:paraId="58F238F7" w14:textId="558F84BC"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(2) Me përjashtim nga paragrafi (1) i këtij neni, operatorit të deponisë mund t'i jepet pjesë më e madhe e masës e përbësve të biodegradueshëm në mbeturinat komunale që do të deponohen në një vit të caktuar kalendarik në pajtim me dokumentet planore të referuara në paragrafi (3) i këtij neni, nëse konstatohet se sasia e përgjithshme e përbërësve të biodegradueshëm në mbeturinat komunale që do të deponohen në të gjitha deponitë në Republikën e Maqedonisë së Veriut në vitin aktual kalendarik, nuk do të tejkalojë sasinë e përbërësve të biodegradueshëm. për atë vit në pajtim me </w:t>
      </w:r>
      <w:r w:rsidR="0002442F" w:rsidRPr="0002442F">
        <w:rPr>
          <w:rFonts w:ascii="StobiSerif Regular" w:hAnsi="StobiSerif Regular"/>
          <w:lang w:val="sq-AL"/>
        </w:rPr>
        <w:t>Shtojcën</w:t>
      </w:r>
      <w:r w:rsidRPr="0002442F">
        <w:rPr>
          <w:rFonts w:ascii="StobiSerif Regular" w:hAnsi="StobiSerif Regular"/>
          <w:lang w:val="sq-AL"/>
        </w:rPr>
        <w:t xml:space="preserve"> e kësaj Rregulloreje. </w:t>
      </w:r>
    </w:p>
    <w:p w14:paraId="5F803FFC"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(3) Përqindja e masës e përbërësve të biodegradueshëm nga paragrafi (2) i këtij neni përcaktohet nga:</w:t>
      </w:r>
    </w:p>
    <w:p w14:paraId="562381BC"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miratimi i planeve të miratuara nga komunat dhe Qyteti i Shkupit, në pajtim me Ligjin për menaxhimin e mbeturinave;</w:t>
      </w:r>
    </w:p>
    <w:p w14:paraId="2B34E54F"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miratimi i programeve të miratuara nga komunat dhe qyteti i Shkupit për çdo vit kalendarik të periudhës planifikuese në bazë të planit nga pika 1 e këtij paragrafi;</w:t>
      </w:r>
    </w:p>
    <w:p w14:paraId="7222B92E" w14:textId="409286CA"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programet për menaxhimin e mbeturinave, të miratuara nga organi kompetent për kryerjen e veprimtarive profesionale në mjedisin jetësor, në pajtim me Ligjin për menaxhimin e mbeturinave..</w:t>
      </w:r>
    </w:p>
    <w:p w14:paraId="3927192A"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6</w:t>
      </w:r>
    </w:p>
    <w:p w14:paraId="2BFD390D"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Në deponi (vendgrumbullim) të mbetjeve jo të rrezikshme, ku kryhet trajtimi mekaniko-biologjik i mbetjeve të përziera komunale, mbetjet komunale të trajtuara dhe të stabilizuara mund të deponohen nëse:</w:t>
      </w:r>
    </w:p>
    <w:p w14:paraId="2C826491"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vlerat e matura, me përjashtim të vlerës për oksigjenin organik të tretur (OOT), nuk i kalojnë vlerat kufitare të parametrave për pranimin e mbeturinave në deponitë e mbetjeve jo të rrezikshme të përcaktuara me Rregulloren për kriteret e pranimit të mbetjeve në deponitë e çdo klase, procedurat përgatitore për pranimin e mbetjeve, testimet e përgjithshme, procedurat e marrjes së mostrave dhe pranimit, dhe</w:t>
      </w:r>
    </w:p>
    <w:p w14:paraId="2158D509"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përmbajtja e karbonit organik total (PKOT) nuk kalon 18% të masës së mbetjeve të përziera komunale të trajtuara në mënyrë mekaniko-biologjike.</w:t>
      </w:r>
    </w:p>
    <w:p w14:paraId="67F1833F" w14:textId="77777777" w:rsidR="001F1F40" w:rsidRPr="0002442F" w:rsidRDefault="001F1F40" w:rsidP="001F1F40">
      <w:pPr>
        <w:jc w:val="both"/>
        <w:rPr>
          <w:rFonts w:ascii="StobiSerif Regular" w:hAnsi="StobiSerif Regular"/>
          <w:lang w:val="sq-AL"/>
        </w:rPr>
      </w:pPr>
    </w:p>
    <w:p w14:paraId="374504F1"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7</w:t>
      </w:r>
    </w:p>
    <w:p w14:paraId="6DDB7175"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lastRenderedPageBreak/>
        <w:t>Me ditën e hyrjes në fuqi të kësaj rregulloreje pushon të vlejë Rregullorja për sasinë e përbërësve të biodegradueshëm në mbeturinat që mund të deponohen (“Gazeta Zyrtare e Republikës së Maqedonisë” nr. 108/09).</w:t>
      </w:r>
    </w:p>
    <w:p w14:paraId="169C8287" w14:textId="77777777" w:rsidR="001F1F40" w:rsidRPr="0002442F" w:rsidRDefault="001F1F40" w:rsidP="001F1F40">
      <w:pPr>
        <w:jc w:val="both"/>
        <w:rPr>
          <w:rFonts w:ascii="StobiSerif Regular" w:hAnsi="StobiSerif Regular"/>
          <w:lang w:val="sq-AL"/>
        </w:rPr>
      </w:pPr>
    </w:p>
    <w:p w14:paraId="0D48339D" w14:textId="77777777"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Neni 8</w:t>
      </w:r>
    </w:p>
    <w:p w14:paraId="25F0B4DA"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Kjo Rregullore hyn në fuqi të nesërmen e ditës së publikimit në “Gazetën Zyrtare të Republikës së Maqedonisë së Veriut”.</w:t>
      </w:r>
    </w:p>
    <w:p w14:paraId="1E56C61F" w14:textId="77777777" w:rsidR="001F1F40" w:rsidRPr="0002442F" w:rsidRDefault="001F1F40" w:rsidP="001F1F40">
      <w:pPr>
        <w:jc w:val="both"/>
        <w:rPr>
          <w:rFonts w:ascii="StobiSerif Regular" w:hAnsi="StobiSerif Regular"/>
          <w:lang w:val="sq-AL"/>
        </w:rPr>
      </w:pPr>
    </w:p>
    <w:p w14:paraId="01FB4C36" w14:textId="77777777" w:rsidR="001F1F40" w:rsidRPr="0002442F" w:rsidRDefault="001F1F40" w:rsidP="001F1F40">
      <w:pPr>
        <w:spacing w:line="360" w:lineRule="auto"/>
        <w:jc w:val="both"/>
        <w:rPr>
          <w:rFonts w:ascii="StobiSerif Regular" w:hAnsi="StobiSerif Regular"/>
          <w:lang w:val="sq-AL"/>
        </w:rPr>
      </w:pPr>
      <w:r w:rsidRPr="0002442F">
        <w:rPr>
          <w:rFonts w:ascii="StobiSerif Regular" w:hAnsi="StobiSerif Regular"/>
          <w:lang w:val="sq-AL"/>
        </w:rPr>
        <w:t xml:space="preserve">Nr. ____________                                                                                      Ministri </w:t>
      </w:r>
    </w:p>
    <w:p w14:paraId="20A768E5" w14:textId="77777777" w:rsidR="001F1F40" w:rsidRPr="0002442F" w:rsidRDefault="001F1F40" w:rsidP="001F1F40">
      <w:pPr>
        <w:spacing w:line="360" w:lineRule="auto"/>
        <w:jc w:val="both"/>
        <w:rPr>
          <w:rFonts w:ascii="StobiSerif Regular" w:hAnsi="StobiSerif Regular"/>
          <w:lang w:val="sq-AL"/>
        </w:rPr>
      </w:pPr>
      <w:r w:rsidRPr="0002442F">
        <w:rPr>
          <w:rFonts w:ascii="StobiSerif Regular" w:hAnsi="StobiSerif Regular"/>
          <w:lang w:val="sq-AL"/>
        </w:rPr>
        <w:t xml:space="preserve">                                                                                         i Mjedisit Jetësor dhe Planifikimit Hapësinor</w:t>
      </w:r>
    </w:p>
    <w:p w14:paraId="516FD24A" w14:textId="77777777" w:rsidR="001F1F40" w:rsidRPr="0002442F" w:rsidRDefault="001F1F40" w:rsidP="001F1F40">
      <w:pPr>
        <w:spacing w:line="360" w:lineRule="auto"/>
        <w:jc w:val="both"/>
        <w:rPr>
          <w:rFonts w:ascii="StobiSerif Regular" w:hAnsi="StobiSerif Regular"/>
          <w:lang w:val="sq-AL"/>
        </w:rPr>
      </w:pPr>
      <w:r w:rsidRPr="0002442F">
        <w:rPr>
          <w:rFonts w:ascii="StobiSerif Regular" w:hAnsi="StobiSerif Regular"/>
          <w:lang w:val="sq-AL"/>
        </w:rPr>
        <w:t xml:space="preserve">________ 2021 viti                                                                               </w:t>
      </w:r>
    </w:p>
    <w:p w14:paraId="49E33B19" w14:textId="77777777" w:rsidR="001F1F40" w:rsidRPr="0002442F" w:rsidRDefault="001F1F40" w:rsidP="001F1F40">
      <w:pPr>
        <w:jc w:val="both"/>
        <w:rPr>
          <w:rFonts w:ascii="StobiSerif Regular" w:hAnsi="StobiSerif Regular"/>
          <w:lang w:val="sq-AL"/>
        </w:rPr>
      </w:pPr>
    </w:p>
    <w:p w14:paraId="2D5EFC3C" w14:textId="77777777" w:rsidR="001F1F40" w:rsidRPr="0002442F" w:rsidRDefault="001F1F40" w:rsidP="001F1F40">
      <w:pPr>
        <w:jc w:val="right"/>
        <w:rPr>
          <w:rFonts w:ascii="StobiSerif Regular" w:hAnsi="StobiSerif Regular"/>
          <w:lang w:val="sq-AL"/>
        </w:rPr>
      </w:pPr>
    </w:p>
    <w:p w14:paraId="2FFF4E95" w14:textId="45A518B2" w:rsidR="003D0385" w:rsidRPr="0002442F" w:rsidRDefault="003D0385">
      <w:pPr>
        <w:rPr>
          <w:rFonts w:ascii="StobiSerif Regular" w:hAnsi="StobiSerif Regular"/>
          <w:lang w:val="sq-AL"/>
        </w:rPr>
      </w:pPr>
      <w:r w:rsidRPr="0002442F">
        <w:rPr>
          <w:rFonts w:ascii="StobiSerif Regular" w:hAnsi="StobiSerif Regular"/>
          <w:lang w:val="sq-AL"/>
        </w:rPr>
        <w:br w:type="page"/>
      </w:r>
    </w:p>
    <w:p w14:paraId="69B145EB" w14:textId="77777777" w:rsidR="001F1F40" w:rsidRPr="0002442F" w:rsidRDefault="001F1F40" w:rsidP="001F1F40">
      <w:pPr>
        <w:rPr>
          <w:rFonts w:ascii="StobiSerif Regular" w:hAnsi="StobiSerif Regular"/>
          <w:lang w:val="sq-AL"/>
        </w:rPr>
      </w:pPr>
    </w:p>
    <w:p w14:paraId="70767A3A" w14:textId="77777777" w:rsidR="001F1F40" w:rsidRPr="0002442F" w:rsidRDefault="001F1F40" w:rsidP="001F1F40">
      <w:pPr>
        <w:jc w:val="right"/>
        <w:rPr>
          <w:rFonts w:ascii="StobiSerif Regular" w:hAnsi="StobiSerif Regular"/>
          <w:lang w:val="sq-AL"/>
        </w:rPr>
      </w:pPr>
    </w:p>
    <w:p w14:paraId="0C3BE395" w14:textId="77777777" w:rsidR="001F1F40" w:rsidRPr="0002442F" w:rsidRDefault="001F1F40" w:rsidP="001F1F40">
      <w:pPr>
        <w:jc w:val="right"/>
        <w:rPr>
          <w:rFonts w:ascii="StobiSerif Regular" w:hAnsi="StobiSerif Regular"/>
          <w:b/>
          <w:lang w:val="sq-AL"/>
        </w:rPr>
      </w:pPr>
      <w:r w:rsidRPr="0002442F">
        <w:rPr>
          <w:rFonts w:ascii="StobiSerif Regular" w:hAnsi="StobiSerif Regular"/>
          <w:b/>
          <w:lang w:val="sq-AL"/>
        </w:rPr>
        <w:t>SHTOJCA</w:t>
      </w:r>
    </w:p>
    <w:p w14:paraId="70967CCE" w14:textId="6A263B12" w:rsidR="001F1F40" w:rsidRPr="0002442F" w:rsidRDefault="001F1F40" w:rsidP="001F1F40">
      <w:pPr>
        <w:jc w:val="center"/>
        <w:rPr>
          <w:rFonts w:ascii="StobiSerif Regular" w:hAnsi="StobiSerif Regular"/>
          <w:lang w:val="sq-AL"/>
        </w:rPr>
      </w:pPr>
      <w:r w:rsidRPr="0002442F">
        <w:rPr>
          <w:rFonts w:ascii="StobiSerif Regular" w:hAnsi="StobiSerif Regular"/>
          <w:lang w:val="sq-AL"/>
        </w:rPr>
        <w:t xml:space="preserve">Sasia e </w:t>
      </w:r>
      <w:r w:rsidR="0002442F" w:rsidRPr="0002442F">
        <w:rPr>
          <w:rFonts w:ascii="StobiSerif Regular" w:hAnsi="StobiSerif Regular"/>
          <w:lang w:val="sq-AL"/>
        </w:rPr>
        <w:t>përbërësve</w:t>
      </w:r>
      <w:r w:rsidRPr="0002442F">
        <w:rPr>
          <w:rFonts w:ascii="StobiSerif Regular" w:hAnsi="StobiSerif Regular"/>
          <w:lang w:val="sq-AL"/>
        </w:rPr>
        <w:t xml:space="preserve"> të biodegradueshëm në mbeturinat komunale që mund të deponohen në të gjitha deponitë në Republikën e Maqedonisë së Veriut në baza vjetore</w:t>
      </w:r>
    </w:p>
    <w:tbl>
      <w:tblPr>
        <w:tblStyle w:val="TableGrid"/>
        <w:tblW w:w="0" w:type="auto"/>
        <w:tblLook w:val="04A0" w:firstRow="1" w:lastRow="0" w:firstColumn="1" w:lastColumn="0" w:noHBand="0" w:noVBand="1"/>
      </w:tblPr>
      <w:tblGrid>
        <w:gridCol w:w="2254"/>
        <w:gridCol w:w="2254"/>
        <w:gridCol w:w="2254"/>
        <w:gridCol w:w="2254"/>
      </w:tblGrid>
      <w:tr w:rsidR="001F1F40" w:rsidRPr="0002442F" w14:paraId="1BC6D459" w14:textId="77777777" w:rsidTr="000E25AF">
        <w:tc>
          <w:tcPr>
            <w:tcW w:w="2254" w:type="dxa"/>
          </w:tcPr>
          <w:p w14:paraId="583ED515"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Viti</w:t>
            </w:r>
          </w:p>
        </w:tc>
        <w:tc>
          <w:tcPr>
            <w:tcW w:w="2254" w:type="dxa"/>
          </w:tcPr>
          <w:p w14:paraId="7D817658"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Sasia e përbërsve të biodegradueshëm në mbeturinat komunale që mund të deponohen në të gjitha deponitë në Republikën e Maqedonisë së Veriut në baza vjetore (1000 t)</w:t>
            </w:r>
          </w:p>
          <w:p w14:paraId="6AA60780" w14:textId="77777777" w:rsidR="001F1F40" w:rsidRPr="0002442F" w:rsidRDefault="001F1F40" w:rsidP="000E25AF">
            <w:pPr>
              <w:jc w:val="both"/>
              <w:rPr>
                <w:rFonts w:ascii="StobiSerif Regular" w:hAnsi="StobiSerif Regular"/>
                <w:lang w:val="sq-AL"/>
              </w:rPr>
            </w:pPr>
          </w:p>
        </w:tc>
        <w:tc>
          <w:tcPr>
            <w:tcW w:w="2254" w:type="dxa"/>
          </w:tcPr>
          <w:p w14:paraId="7E7AAB50" w14:textId="4789BCBB"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 xml:space="preserve">Sasia e </w:t>
            </w:r>
            <w:r w:rsidR="0002442F" w:rsidRPr="0002442F">
              <w:rPr>
                <w:rFonts w:ascii="StobiSerif Regular" w:hAnsi="StobiSerif Regular"/>
                <w:lang w:val="sq-AL"/>
              </w:rPr>
              <w:t>përbërësve</w:t>
            </w:r>
            <w:r w:rsidRPr="0002442F">
              <w:rPr>
                <w:rFonts w:ascii="StobiSerif Regular" w:hAnsi="StobiSerif Regular"/>
                <w:lang w:val="sq-AL"/>
              </w:rPr>
              <w:t xml:space="preserve"> të biodegradueshëm në mbeturinat komunale që mund të deponohen në të gjitha deponitë në baza vjetore, shprehur si pjesë e masës në mbetjet komunale të krijuara në vitin 1995 (%)</w:t>
            </w:r>
          </w:p>
        </w:tc>
        <w:tc>
          <w:tcPr>
            <w:tcW w:w="2254" w:type="dxa"/>
          </w:tcPr>
          <w:p w14:paraId="430B18E5"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Reduktimi i sasisë së përbërësve të biodegradueshëm të depozituar në mbetjet komunale në baza vjetore, i shprehur si një ulje e përqindjes së përbërësve të biodegradueshëm në mbetjet komunale të krijuara në vitin 1995 (%)</w:t>
            </w:r>
          </w:p>
        </w:tc>
      </w:tr>
      <w:tr w:rsidR="001F1F40" w:rsidRPr="0002442F" w14:paraId="11FA95C2" w14:textId="77777777" w:rsidTr="000E25AF">
        <w:tc>
          <w:tcPr>
            <w:tcW w:w="2254" w:type="dxa"/>
          </w:tcPr>
          <w:p w14:paraId="35CD14ED"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Viti referues</w:t>
            </w:r>
          </w:p>
          <w:p w14:paraId="17A8A396"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 xml:space="preserve"> 1995</w:t>
            </w:r>
          </w:p>
        </w:tc>
        <w:tc>
          <w:tcPr>
            <w:tcW w:w="2254" w:type="dxa"/>
          </w:tcPr>
          <w:p w14:paraId="3B988304"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305</w:t>
            </w:r>
          </w:p>
        </w:tc>
        <w:tc>
          <w:tcPr>
            <w:tcW w:w="2254" w:type="dxa"/>
          </w:tcPr>
          <w:p w14:paraId="64E6FBE7"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62</w:t>
            </w:r>
          </w:p>
        </w:tc>
        <w:tc>
          <w:tcPr>
            <w:tcW w:w="2254" w:type="dxa"/>
          </w:tcPr>
          <w:p w14:paraId="0C5AC9C1" w14:textId="77777777" w:rsidR="001F1F40" w:rsidRPr="0002442F" w:rsidRDefault="001F1F40" w:rsidP="000E25AF">
            <w:pPr>
              <w:jc w:val="both"/>
              <w:rPr>
                <w:rFonts w:ascii="StobiSerif Regular" w:hAnsi="StobiSerif Regular"/>
                <w:lang w:val="sq-AL"/>
              </w:rPr>
            </w:pPr>
          </w:p>
        </w:tc>
      </w:tr>
      <w:tr w:rsidR="001F1F40" w:rsidRPr="0002442F" w14:paraId="49D53910" w14:textId="77777777" w:rsidTr="000E25AF">
        <w:tc>
          <w:tcPr>
            <w:tcW w:w="2254" w:type="dxa"/>
          </w:tcPr>
          <w:p w14:paraId="554FE022"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2018</w:t>
            </w:r>
          </w:p>
        </w:tc>
        <w:tc>
          <w:tcPr>
            <w:tcW w:w="2254" w:type="dxa"/>
          </w:tcPr>
          <w:p w14:paraId="74565C14"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302</w:t>
            </w:r>
          </w:p>
        </w:tc>
        <w:tc>
          <w:tcPr>
            <w:tcW w:w="2254" w:type="dxa"/>
          </w:tcPr>
          <w:p w14:paraId="30176267"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61</w:t>
            </w:r>
          </w:p>
        </w:tc>
        <w:tc>
          <w:tcPr>
            <w:tcW w:w="2254" w:type="dxa"/>
          </w:tcPr>
          <w:p w14:paraId="0C26DC11"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w:t>
            </w:r>
          </w:p>
        </w:tc>
      </w:tr>
      <w:tr w:rsidR="001F1F40" w:rsidRPr="0002442F" w14:paraId="75C6CB03" w14:textId="77777777" w:rsidTr="000E25AF">
        <w:tc>
          <w:tcPr>
            <w:tcW w:w="2254" w:type="dxa"/>
          </w:tcPr>
          <w:p w14:paraId="13FB0032"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2019</w:t>
            </w:r>
          </w:p>
        </w:tc>
        <w:tc>
          <w:tcPr>
            <w:tcW w:w="2254" w:type="dxa"/>
          </w:tcPr>
          <w:p w14:paraId="1F43286D"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299</w:t>
            </w:r>
          </w:p>
        </w:tc>
        <w:tc>
          <w:tcPr>
            <w:tcW w:w="2254" w:type="dxa"/>
          </w:tcPr>
          <w:p w14:paraId="6E72A228"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61</w:t>
            </w:r>
          </w:p>
        </w:tc>
        <w:tc>
          <w:tcPr>
            <w:tcW w:w="2254" w:type="dxa"/>
          </w:tcPr>
          <w:p w14:paraId="3EC3BA17"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w:t>
            </w:r>
          </w:p>
        </w:tc>
      </w:tr>
      <w:tr w:rsidR="001F1F40" w:rsidRPr="0002442F" w14:paraId="49F619A6" w14:textId="77777777" w:rsidTr="000E25AF">
        <w:tc>
          <w:tcPr>
            <w:tcW w:w="2254" w:type="dxa"/>
          </w:tcPr>
          <w:p w14:paraId="666716F1"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2020</w:t>
            </w:r>
          </w:p>
        </w:tc>
        <w:tc>
          <w:tcPr>
            <w:tcW w:w="2254" w:type="dxa"/>
          </w:tcPr>
          <w:p w14:paraId="1BE80846"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296</w:t>
            </w:r>
          </w:p>
        </w:tc>
        <w:tc>
          <w:tcPr>
            <w:tcW w:w="2254" w:type="dxa"/>
          </w:tcPr>
          <w:p w14:paraId="2F922E69"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60</w:t>
            </w:r>
          </w:p>
        </w:tc>
        <w:tc>
          <w:tcPr>
            <w:tcW w:w="2254" w:type="dxa"/>
          </w:tcPr>
          <w:p w14:paraId="160B48D7"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w:t>
            </w:r>
          </w:p>
        </w:tc>
      </w:tr>
      <w:tr w:rsidR="001F1F40" w:rsidRPr="0002442F" w14:paraId="7DF16F01" w14:textId="77777777" w:rsidTr="000E25AF">
        <w:tc>
          <w:tcPr>
            <w:tcW w:w="9016" w:type="dxa"/>
            <w:gridSpan w:val="4"/>
          </w:tcPr>
          <w:p w14:paraId="0142E254"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 xml:space="preserve">                                   Ulje totale për periudhën 2018 – 2020 (%)                          25.0  </w:t>
            </w:r>
          </w:p>
        </w:tc>
      </w:tr>
      <w:tr w:rsidR="001F1F40" w:rsidRPr="0002442F" w14:paraId="41D509D4" w14:textId="77777777" w:rsidTr="000E25AF">
        <w:tc>
          <w:tcPr>
            <w:tcW w:w="2254" w:type="dxa"/>
          </w:tcPr>
          <w:p w14:paraId="323C65F0"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2021</w:t>
            </w:r>
          </w:p>
        </w:tc>
        <w:tc>
          <w:tcPr>
            <w:tcW w:w="2254" w:type="dxa"/>
          </w:tcPr>
          <w:p w14:paraId="521F6ED8"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290</w:t>
            </w:r>
          </w:p>
        </w:tc>
        <w:tc>
          <w:tcPr>
            <w:tcW w:w="2254" w:type="dxa"/>
          </w:tcPr>
          <w:p w14:paraId="1AEC3953"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40</w:t>
            </w:r>
          </w:p>
        </w:tc>
        <w:tc>
          <w:tcPr>
            <w:tcW w:w="2254" w:type="dxa"/>
          </w:tcPr>
          <w:p w14:paraId="735FEB5B"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10</w:t>
            </w:r>
          </w:p>
        </w:tc>
      </w:tr>
      <w:tr w:rsidR="001F1F40" w:rsidRPr="0002442F" w14:paraId="5A1AA695" w14:textId="77777777" w:rsidTr="000E25AF">
        <w:tc>
          <w:tcPr>
            <w:tcW w:w="2254" w:type="dxa"/>
          </w:tcPr>
          <w:p w14:paraId="24E6E8F4"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2022</w:t>
            </w:r>
          </w:p>
        </w:tc>
        <w:tc>
          <w:tcPr>
            <w:tcW w:w="2254" w:type="dxa"/>
          </w:tcPr>
          <w:p w14:paraId="49839170"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278</w:t>
            </w:r>
          </w:p>
        </w:tc>
        <w:tc>
          <w:tcPr>
            <w:tcW w:w="2254" w:type="dxa"/>
          </w:tcPr>
          <w:p w14:paraId="576F4363"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34</w:t>
            </w:r>
          </w:p>
        </w:tc>
        <w:tc>
          <w:tcPr>
            <w:tcW w:w="2254" w:type="dxa"/>
          </w:tcPr>
          <w:p w14:paraId="627914AA"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10</w:t>
            </w:r>
          </w:p>
        </w:tc>
      </w:tr>
      <w:tr w:rsidR="001F1F40" w:rsidRPr="0002442F" w14:paraId="4230EEF0" w14:textId="77777777" w:rsidTr="000E25AF">
        <w:tc>
          <w:tcPr>
            <w:tcW w:w="2254" w:type="dxa"/>
          </w:tcPr>
          <w:p w14:paraId="4B758063"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2023</w:t>
            </w:r>
          </w:p>
        </w:tc>
        <w:tc>
          <w:tcPr>
            <w:tcW w:w="2254" w:type="dxa"/>
          </w:tcPr>
          <w:p w14:paraId="75CB4322"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253</w:t>
            </w:r>
          </w:p>
        </w:tc>
        <w:tc>
          <w:tcPr>
            <w:tcW w:w="2254" w:type="dxa"/>
          </w:tcPr>
          <w:p w14:paraId="11DB6225"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31</w:t>
            </w:r>
          </w:p>
        </w:tc>
        <w:tc>
          <w:tcPr>
            <w:tcW w:w="2254" w:type="dxa"/>
          </w:tcPr>
          <w:p w14:paraId="2850E369"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5</w:t>
            </w:r>
          </w:p>
        </w:tc>
      </w:tr>
      <w:tr w:rsidR="001F1F40" w:rsidRPr="0002442F" w14:paraId="64A5EC93" w14:textId="77777777" w:rsidTr="000E25AF">
        <w:tc>
          <w:tcPr>
            <w:tcW w:w="9016" w:type="dxa"/>
            <w:gridSpan w:val="4"/>
          </w:tcPr>
          <w:p w14:paraId="6A4B4513"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 xml:space="preserve">                                   Ulje totale për periudhën 2021 – 2023 (%)                          50.0  </w:t>
            </w:r>
          </w:p>
        </w:tc>
      </w:tr>
      <w:tr w:rsidR="001F1F40" w:rsidRPr="0002442F" w14:paraId="316A23EA" w14:textId="77777777" w:rsidTr="000E25AF">
        <w:tc>
          <w:tcPr>
            <w:tcW w:w="2254" w:type="dxa"/>
          </w:tcPr>
          <w:p w14:paraId="4C71BB36"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2023</w:t>
            </w:r>
          </w:p>
        </w:tc>
        <w:tc>
          <w:tcPr>
            <w:tcW w:w="2254" w:type="dxa"/>
          </w:tcPr>
          <w:p w14:paraId="4227F177"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143</w:t>
            </w:r>
          </w:p>
        </w:tc>
        <w:tc>
          <w:tcPr>
            <w:tcW w:w="2254" w:type="dxa"/>
          </w:tcPr>
          <w:p w14:paraId="11673CD2"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29</w:t>
            </w:r>
          </w:p>
        </w:tc>
        <w:tc>
          <w:tcPr>
            <w:tcW w:w="2254" w:type="dxa"/>
          </w:tcPr>
          <w:p w14:paraId="40950EEB"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w:t>
            </w:r>
          </w:p>
        </w:tc>
      </w:tr>
      <w:tr w:rsidR="001F1F40" w:rsidRPr="0002442F" w14:paraId="7C8E6A1C" w14:textId="77777777" w:rsidTr="000E25AF">
        <w:tc>
          <w:tcPr>
            <w:tcW w:w="2254" w:type="dxa"/>
          </w:tcPr>
          <w:p w14:paraId="4FF099FB"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2024</w:t>
            </w:r>
          </w:p>
        </w:tc>
        <w:tc>
          <w:tcPr>
            <w:tcW w:w="2254" w:type="dxa"/>
          </w:tcPr>
          <w:p w14:paraId="5C500115"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134</w:t>
            </w:r>
          </w:p>
        </w:tc>
        <w:tc>
          <w:tcPr>
            <w:tcW w:w="2254" w:type="dxa"/>
          </w:tcPr>
          <w:p w14:paraId="044666BD"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27</w:t>
            </w:r>
          </w:p>
        </w:tc>
        <w:tc>
          <w:tcPr>
            <w:tcW w:w="2254" w:type="dxa"/>
          </w:tcPr>
          <w:p w14:paraId="1BE0078D"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w:t>
            </w:r>
          </w:p>
        </w:tc>
      </w:tr>
      <w:tr w:rsidR="001F1F40" w:rsidRPr="0002442F" w14:paraId="7B350FCE" w14:textId="77777777" w:rsidTr="000E25AF">
        <w:tc>
          <w:tcPr>
            <w:tcW w:w="2254" w:type="dxa"/>
          </w:tcPr>
          <w:p w14:paraId="7E89B5B8"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2025</w:t>
            </w:r>
          </w:p>
        </w:tc>
        <w:tc>
          <w:tcPr>
            <w:tcW w:w="2254" w:type="dxa"/>
          </w:tcPr>
          <w:p w14:paraId="040D564C"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125</w:t>
            </w:r>
          </w:p>
        </w:tc>
        <w:tc>
          <w:tcPr>
            <w:tcW w:w="2254" w:type="dxa"/>
          </w:tcPr>
          <w:p w14:paraId="0EB45E3B"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25</w:t>
            </w:r>
          </w:p>
        </w:tc>
        <w:tc>
          <w:tcPr>
            <w:tcW w:w="2254" w:type="dxa"/>
          </w:tcPr>
          <w:p w14:paraId="388FAEE3"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3</w:t>
            </w:r>
          </w:p>
        </w:tc>
      </w:tr>
      <w:tr w:rsidR="001F1F40" w:rsidRPr="0002442F" w14:paraId="120DFB3D" w14:textId="77777777" w:rsidTr="000E25AF">
        <w:tc>
          <w:tcPr>
            <w:tcW w:w="2254" w:type="dxa"/>
          </w:tcPr>
          <w:p w14:paraId="3DAC4DC5"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2026</w:t>
            </w:r>
          </w:p>
        </w:tc>
        <w:tc>
          <w:tcPr>
            <w:tcW w:w="2254" w:type="dxa"/>
          </w:tcPr>
          <w:p w14:paraId="163042D4"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119</w:t>
            </w:r>
          </w:p>
        </w:tc>
        <w:tc>
          <w:tcPr>
            <w:tcW w:w="2254" w:type="dxa"/>
          </w:tcPr>
          <w:p w14:paraId="548084B3"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24</w:t>
            </w:r>
          </w:p>
        </w:tc>
        <w:tc>
          <w:tcPr>
            <w:tcW w:w="2254" w:type="dxa"/>
          </w:tcPr>
          <w:p w14:paraId="616F9E04"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w:t>
            </w:r>
          </w:p>
        </w:tc>
      </w:tr>
      <w:tr w:rsidR="001F1F40" w:rsidRPr="0002442F" w14:paraId="18B27801" w14:textId="77777777" w:rsidTr="000E25AF">
        <w:tc>
          <w:tcPr>
            <w:tcW w:w="2254" w:type="dxa"/>
          </w:tcPr>
          <w:p w14:paraId="3D6C0955"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2027-2037</w:t>
            </w:r>
          </w:p>
        </w:tc>
        <w:tc>
          <w:tcPr>
            <w:tcW w:w="2254" w:type="dxa"/>
          </w:tcPr>
          <w:p w14:paraId="74AEE83A"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107</w:t>
            </w:r>
          </w:p>
        </w:tc>
        <w:tc>
          <w:tcPr>
            <w:tcW w:w="2254" w:type="dxa"/>
          </w:tcPr>
          <w:p w14:paraId="750FFDEA"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22</w:t>
            </w:r>
          </w:p>
        </w:tc>
        <w:tc>
          <w:tcPr>
            <w:tcW w:w="2254" w:type="dxa"/>
          </w:tcPr>
          <w:p w14:paraId="018CFC2A" w14:textId="77777777" w:rsidR="001F1F40" w:rsidRPr="0002442F" w:rsidRDefault="001F1F40" w:rsidP="000E25AF">
            <w:pPr>
              <w:jc w:val="center"/>
              <w:rPr>
                <w:rFonts w:ascii="StobiSerif Regular" w:hAnsi="StobiSerif Regular"/>
                <w:lang w:val="sq-AL"/>
              </w:rPr>
            </w:pPr>
            <w:r w:rsidRPr="0002442F">
              <w:rPr>
                <w:rFonts w:ascii="StobiSerif Regular" w:hAnsi="StobiSerif Regular"/>
                <w:lang w:val="sq-AL"/>
              </w:rPr>
              <w:t>4</w:t>
            </w:r>
          </w:p>
        </w:tc>
      </w:tr>
      <w:tr w:rsidR="001F1F40" w:rsidRPr="0002442F" w14:paraId="07F0E953" w14:textId="77777777" w:rsidTr="000E25AF">
        <w:tc>
          <w:tcPr>
            <w:tcW w:w="9016" w:type="dxa"/>
            <w:gridSpan w:val="4"/>
          </w:tcPr>
          <w:p w14:paraId="11B2804E" w14:textId="77777777" w:rsidR="001F1F40" w:rsidRPr="0002442F" w:rsidRDefault="001F1F40" w:rsidP="000E25AF">
            <w:pPr>
              <w:jc w:val="both"/>
              <w:rPr>
                <w:rFonts w:ascii="StobiSerif Regular" w:hAnsi="StobiSerif Regular"/>
                <w:lang w:val="sq-AL"/>
              </w:rPr>
            </w:pPr>
            <w:r w:rsidRPr="0002442F">
              <w:rPr>
                <w:rFonts w:ascii="StobiSerif Regular" w:hAnsi="StobiSerif Regular"/>
                <w:lang w:val="sq-AL"/>
              </w:rPr>
              <w:t xml:space="preserve">                                  Ulje totale për periudhën 2023 – 2037 (%)                          65.0</w:t>
            </w:r>
          </w:p>
        </w:tc>
      </w:tr>
    </w:tbl>
    <w:p w14:paraId="4033BABB" w14:textId="77777777" w:rsidR="001F1F40" w:rsidRPr="0002442F" w:rsidRDefault="001F1F40" w:rsidP="001F1F40">
      <w:pPr>
        <w:jc w:val="both"/>
        <w:rPr>
          <w:rFonts w:ascii="StobiSerif Regular" w:hAnsi="StobiSerif Regular"/>
          <w:lang w:val="sq-AL"/>
        </w:rPr>
      </w:pPr>
    </w:p>
    <w:p w14:paraId="1B8F6227" w14:textId="77777777" w:rsidR="001F1F40" w:rsidRPr="0002442F" w:rsidRDefault="001F1F40" w:rsidP="001F1F40">
      <w:pPr>
        <w:rPr>
          <w:rFonts w:ascii="StobiSerif Regular" w:hAnsi="StobiSerif Regular"/>
          <w:lang w:val="sq-AL"/>
        </w:rPr>
      </w:pPr>
    </w:p>
    <w:p w14:paraId="66B5359A" w14:textId="77777777" w:rsidR="001F1F40" w:rsidRPr="0002442F" w:rsidRDefault="001F1F40" w:rsidP="001F1F40">
      <w:pPr>
        <w:jc w:val="both"/>
        <w:rPr>
          <w:rFonts w:ascii="StobiSerif Regular" w:hAnsi="StobiSerif Regular"/>
          <w:lang w:val="sq-AL"/>
        </w:rPr>
      </w:pPr>
      <w:r w:rsidRPr="0002442F">
        <w:rPr>
          <w:rFonts w:ascii="StobiSerif Regular" w:hAnsi="StobiSerif Regular"/>
          <w:lang w:val="sq-AL"/>
        </w:rPr>
        <w:t xml:space="preserve">* Sasia e përbërësve të biodegradueshëm në mbeturinat komunale të krijuara, në bazë nga viti 1995 në Republikën e Maqedonisë së Veriut, e llogaritur duke u bazuar se në periudhën 1995-2005, shkalla e rritjes së gjenerimit të mbeturinave komunale ishte 1,5% </w:t>
      </w:r>
      <w:r w:rsidRPr="0002442F">
        <w:rPr>
          <w:rFonts w:ascii="StobiSerif Regular" w:hAnsi="StobiSerif Regular"/>
          <w:lang w:val="sq-AL"/>
        </w:rPr>
        <w:lastRenderedPageBreak/>
        <w:t>në vit, ndërsa përbërësit e biodegradueshëm në Mbetjet komunale çdo vit përfaqësonin 62% të pjesës së masës, sipas Planit Kombëtar për Menaxhimin e Mbetjeve (2009-2015), sasia e mbeturinave komunale të krijuara në vitin 2005 në Maqedoni ishte 572,000 ton.</w:t>
      </w:r>
    </w:p>
    <w:p w14:paraId="4792B2A0" w14:textId="77777777" w:rsidR="00416C89" w:rsidRPr="0002442F" w:rsidRDefault="00416C89" w:rsidP="00530E7C">
      <w:pPr>
        <w:jc w:val="both"/>
        <w:rPr>
          <w:rFonts w:ascii="StobiSerif Regular" w:hAnsi="StobiSerif Regular"/>
          <w:lang w:val="sq-AL"/>
        </w:rPr>
      </w:pPr>
    </w:p>
    <w:sectPr w:rsidR="00416C89" w:rsidRPr="000244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B05E" w14:textId="77777777" w:rsidR="003332CB" w:rsidRDefault="003332CB" w:rsidP="008F77D9">
      <w:pPr>
        <w:spacing w:after="0" w:line="240" w:lineRule="auto"/>
      </w:pPr>
      <w:r>
        <w:separator/>
      </w:r>
    </w:p>
  </w:endnote>
  <w:endnote w:type="continuationSeparator" w:id="0">
    <w:p w14:paraId="03AE4023" w14:textId="77777777" w:rsidR="003332CB" w:rsidRDefault="003332CB" w:rsidP="008F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D844" w14:textId="77777777" w:rsidR="00CF68C3" w:rsidRDefault="00CF6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62A5" w14:textId="77777777" w:rsidR="00CF68C3" w:rsidRDefault="00CF6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8DC7" w14:textId="77777777" w:rsidR="00CF68C3" w:rsidRDefault="00CF6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27332" w14:textId="77777777" w:rsidR="003332CB" w:rsidRDefault="003332CB" w:rsidP="008F77D9">
      <w:pPr>
        <w:spacing w:after="0" w:line="240" w:lineRule="auto"/>
      </w:pPr>
      <w:r>
        <w:separator/>
      </w:r>
    </w:p>
  </w:footnote>
  <w:footnote w:type="continuationSeparator" w:id="0">
    <w:p w14:paraId="550DF399" w14:textId="77777777" w:rsidR="003332CB" w:rsidRDefault="003332CB" w:rsidP="008F77D9">
      <w:pPr>
        <w:spacing w:after="0" w:line="240" w:lineRule="auto"/>
      </w:pPr>
      <w:r>
        <w:continuationSeparator/>
      </w:r>
    </w:p>
  </w:footnote>
  <w:footnote w:id="1">
    <w:p w14:paraId="43A434DE" w14:textId="77777777" w:rsidR="008F77D9" w:rsidRPr="008F77D9" w:rsidRDefault="008F77D9" w:rsidP="008F77D9">
      <w:pPr>
        <w:rPr>
          <w:rFonts w:ascii="StobiSerif Regular" w:hAnsi="StobiSerif Regular"/>
          <w:sz w:val="18"/>
          <w:szCs w:val="18"/>
        </w:rPr>
      </w:pPr>
      <w:r>
        <w:rPr>
          <w:rStyle w:val="FootnoteReference"/>
        </w:rPr>
        <w:footnoteRef/>
      </w:r>
      <w:r>
        <w:t xml:space="preserve"> </w:t>
      </w:r>
      <w:r w:rsidRPr="008F77D9">
        <w:rPr>
          <w:rFonts w:ascii="StobiSerif Regular" w:hAnsi="StobiSerif Regular"/>
          <w:sz w:val="18"/>
          <w:szCs w:val="18"/>
        </w:rPr>
        <w:t>Овој правилник се усогласува со Директивата 1999/31/ЕЗ на Советот од 26 април 1999 година за депонии за отпад</w:t>
      </w:r>
    </w:p>
    <w:p w14:paraId="66658B14" w14:textId="5E787D6D" w:rsidR="008F77D9" w:rsidRDefault="008F77D9">
      <w:pPr>
        <w:pStyle w:val="FootnoteText"/>
      </w:pPr>
    </w:p>
  </w:footnote>
  <w:footnote w:id="2">
    <w:p w14:paraId="77C941BC" w14:textId="77777777" w:rsidR="008F77D9" w:rsidRPr="008F77D9" w:rsidRDefault="008F77D9" w:rsidP="008F77D9">
      <w:pPr>
        <w:jc w:val="both"/>
        <w:rPr>
          <w:rFonts w:ascii="StobiSerif Regular" w:hAnsi="StobiSerif Regular"/>
          <w:sz w:val="18"/>
          <w:szCs w:val="18"/>
        </w:rPr>
      </w:pPr>
      <w:r w:rsidRPr="008F77D9">
        <w:t>(</w:t>
      </w:r>
      <w:r w:rsidRPr="008F77D9">
        <w:rPr>
          <w:rStyle w:val="FootnoteReference"/>
          <w:color w:val="FFFFFF" w:themeColor="background1"/>
        </w:rPr>
        <w:footnoteRef/>
      </w:r>
      <w:r>
        <w:t>*)</w:t>
      </w:r>
      <w:proofErr w:type="spellStart"/>
      <w:r w:rsidRPr="008F77D9">
        <w:rPr>
          <w:rFonts w:ascii="StobiSerif Regular" w:hAnsi="StobiSerif Regular"/>
          <w:sz w:val="18"/>
          <w:szCs w:val="18"/>
        </w:rPr>
        <w:t>Ky</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rregullore</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është</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në</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përputhje</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me</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Direktivën</w:t>
      </w:r>
      <w:proofErr w:type="spellEnd"/>
      <w:r w:rsidRPr="008F77D9">
        <w:rPr>
          <w:rFonts w:ascii="StobiSerif Regular" w:hAnsi="StobiSerif Regular"/>
          <w:sz w:val="18"/>
          <w:szCs w:val="18"/>
        </w:rPr>
        <w:t xml:space="preserve"> e </w:t>
      </w:r>
      <w:proofErr w:type="spellStart"/>
      <w:r w:rsidRPr="008F77D9">
        <w:rPr>
          <w:rFonts w:ascii="StobiSerif Regular" w:hAnsi="StobiSerif Regular"/>
          <w:sz w:val="18"/>
          <w:szCs w:val="18"/>
        </w:rPr>
        <w:t>Këshillit</w:t>
      </w:r>
      <w:proofErr w:type="spellEnd"/>
      <w:r w:rsidRPr="008F77D9">
        <w:rPr>
          <w:rFonts w:ascii="StobiSerif Regular" w:hAnsi="StobiSerif Regular"/>
          <w:sz w:val="18"/>
          <w:szCs w:val="18"/>
        </w:rPr>
        <w:t xml:space="preserve"> 1999/31 / KE e </w:t>
      </w:r>
      <w:proofErr w:type="spellStart"/>
      <w:r w:rsidRPr="008F77D9">
        <w:rPr>
          <w:rFonts w:ascii="StobiSerif Regular" w:hAnsi="StobiSerif Regular"/>
          <w:sz w:val="18"/>
          <w:szCs w:val="18"/>
        </w:rPr>
        <w:t>datës</w:t>
      </w:r>
      <w:proofErr w:type="spellEnd"/>
      <w:r w:rsidRPr="008F77D9">
        <w:rPr>
          <w:rFonts w:ascii="StobiSerif Regular" w:hAnsi="StobiSerif Regular"/>
          <w:sz w:val="18"/>
          <w:szCs w:val="18"/>
        </w:rPr>
        <w:t xml:space="preserve"> 26 </w:t>
      </w:r>
      <w:proofErr w:type="spellStart"/>
      <w:r w:rsidRPr="008F77D9">
        <w:rPr>
          <w:rFonts w:ascii="StobiSerif Regular" w:hAnsi="StobiSerif Regular"/>
          <w:sz w:val="18"/>
          <w:szCs w:val="18"/>
        </w:rPr>
        <w:t>Prill</w:t>
      </w:r>
      <w:proofErr w:type="spellEnd"/>
      <w:r w:rsidRPr="008F77D9">
        <w:rPr>
          <w:rFonts w:ascii="StobiSerif Regular" w:hAnsi="StobiSerif Regular"/>
          <w:sz w:val="18"/>
          <w:szCs w:val="18"/>
        </w:rPr>
        <w:t xml:space="preserve"> 1999 </w:t>
      </w:r>
      <w:proofErr w:type="spellStart"/>
      <w:r w:rsidRPr="008F77D9">
        <w:rPr>
          <w:rFonts w:ascii="StobiSerif Regular" w:hAnsi="StobiSerif Regular"/>
          <w:sz w:val="18"/>
          <w:szCs w:val="18"/>
        </w:rPr>
        <w:t>mbi</w:t>
      </w:r>
      <w:proofErr w:type="spellEnd"/>
      <w:r w:rsidRPr="008F77D9">
        <w:rPr>
          <w:rFonts w:ascii="StobiSerif Regular" w:hAnsi="StobiSerif Regular"/>
          <w:sz w:val="18"/>
          <w:szCs w:val="18"/>
        </w:rPr>
        <w:t xml:space="preserve"> </w:t>
      </w:r>
      <w:proofErr w:type="spellStart"/>
      <w:r w:rsidRPr="008F77D9">
        <w:rPr>
          <w:rFonts w:ascii="StobiSerif Regular" w:hAnsi="StobiSerif Regular"/>
          <w:sz w:val="18"/>
          <w:szCs w:val="18"/>
        </w:rPr>
        <w:t>deponitë</w:t>
      </w:r>
      <w:proofErr w:type="spellEnd"/>
    </w:p>
    <w:p w14:paraId="6E3CFC56" w14:textId="240D68B1" w:rsidR="008F77D9" w:rsidRDefault="008F77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9415" w14:textId="77777777" w:rsidR="00CF68C3" w:rsidRDefault="00CF6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472881"/>
      <w:docPartObj>
        <w:docPartGallery w:val="Watermarks"/>
        <w:docPartUnique/>
      </w:docPartObj>
    </w:sdtPr>
    <w:sdtEndPr/>
    <w:sdtContent>
      <w:p w14:paraId="22337175" w14:textId="67858D5D" w:rsidR="00CF68C3" w:rsidRDefault="003332CB">
        <w:pPr>
          <w:pStyle w:val="Header"/>
        </w:pPr>
        <w:r>
          <w:rPr>
            <w:noProof/>
          </w:rPr>
          <w:pict w14:anchorId="73D7C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5817" w14:textId="77777777" w:rsidR="00CF68C3" w:rsidRDefault="00CF6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A5"/>
    <w:rsid w:val="0002442F"/>
    <w:rsid w:val="000910BA"/>
    <w:rsid w:val="000E7458"/>
    <w:rsid w:val="00120DBA"/>
    <w:rsid w:val="00146676"/>
    <w:rsid w:val="001F1F40"/>
    <w:rsid w:val="00257E0E"/>
    <w:rsid w:val="002603D7"/>
    <w:rsid w:val="00284C68"/>
    <w:rsid w:val="002A2B0C"/>
    <w:rsid w:val="002D5E6C"/>
    <w:rsid w:val="00306C3A"/>
    <w:rsid w:val="003332CB"/>
    <w:rsid w:val="003367C3"/>
    <w:rsid w:val="0035104F"/>
    <w:rsid w:val="003D0385"/>
    <w:rsid w:val="00416C89"/>
    <w:rsid w:val="00530E7C"/>
    <w:rsid w:val="005854DC"/>
    <w:rsid w:val="00592608"/>
    <w:rsid w:val="005A42A5"/>
    <w:rsid w:val="00643531"/>
    <w:rsid w:val="00674671"/>
    <w:rsid w:val="00680881"/>
    <w:rsid w:val="006A0F42"/>
    <w:rsid w:val="00743D8C"/>
    <w:rsid w:val="007728AA"/>
    <w:rsid w:val="00815805"/>
    <w:rsid w:val="0086667A"/>
    <w:rsid w:val="008F77D9"/>
    <w:rsid w:val="00953ADE"/>
    <w:rsid w:val="00964D3C"/>
    <w:rsid w:val="009C5F4F"/>
    <w:rsid w:val="009D1F09"/>
    <w:rsid w:val="00A56E53"/>
    <w:rsid w:val="00A765B8"/>
    <w:rsid w:val="00A76983"/>
    <w:rsid w:val="00B123BA"/>
    <w:rsid w:val="00B34339"/>
    <w:rsid w:val="00BF76BB"/>
    <w:rsid w:val="00C65FDA"/>
    <w:rsid w:val="00CF68C3"/>
    <w:rsid w:val="00D05736"/>
    <w:rsid w:val="00DA1C00"/>
    <w:rsid w:val="00E32824"/>
    <w:rsid w:val="00F4341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4CFB3D"/>
  <w15:chartTrackingRefBased/>
  <w15:docId w15:val="{7BE4AB8E-FC33-46CD-B3AE-DAFD5F11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531"/>
    <w:rPr>
      <w:sz w:val="16"/>
      <w:szCs w:val="16"/>
    </w:rPr>
  </w:style>
  <w:style w:type="paragraph" w:styleId="CommentText">
    <w:name w:val="annotation text"/>
    <w:basedOn w:val="Normal"/>
    <w:link w:val="CommentTextChar"/>
    <w:uiPriority w:val="99"/>
    <w:semiHidden/>
    <w:unhideWhenUsed/>
    <w:rsid w:val="00643531"/>
    <w:pPr>
      <w:spacing w:line="240" w:lineRule="auto"/>
    </w:pPr>
    <w:rPr>
      <w:sz w:val="20"/>
      <w:szCs w:val="20"/>
    </w:rPr>
  </w:style>
  <w:style w:type="character" w:customStyle="1" w:styleId="CommentTextChar">
    <w:name w:val="Comment Text Char"/>
    <w:basedOn w:val="DefaultParagraphFont"/>
    <w:link w:val="CommentText"/>
    <w:uiPriority w:val="99"/>
    <w:semiHidden/>
    <w:rsid w:val="00643531"/>
    <w:rPr>
      <w:sz w:val="20"/>
      <w:szCs w:val="20"/>
    </w:rPr>
  </w:style>
  <w:style w:type="paragraph" w:styleId="CommentSubject">
    <w:name w:val="annotation subject"/>
    <w:basedOn w:val="CommentText"/>
    <w:next w:val="CommentText"/>
    <w:link w:val="CommentSubjectChar"/>
    <w:uiPriority w:val="99"/>
    <w:semiHidden/>
    <w:unhideWhenUsed/>
    <w:rsid w:val="00643531"/>
    <w:rPr>
      <w:b/>
      <w:bCs/>
    </w:rPr>
  </w:style>
  <w:style w:type="character" w:customStyle="1" w:styleId="CommentSubjectChar">
    <w:name w:val="Comment Subject Char"/>
    <w:basedOn w:val="CommentTextChar"/>
    <w:link w:val="CommentSubject"/>
    <w:uiPriority w:val="99"/>
    <w:semiHidden/>
    <w:rsid w:val="00643531"/>
    <w:rPr>
      <w:b/>
      <w:bCs/>
      <w:sz w:val="20"/>
      <w:szCs w:val="20"/>
    </w:rPr>
  </w:style>
  <w:style w:type="paragraph" w:styleId="BalloonText">
    <w:name w:val="Balloon Text"/>
    <w:basedOn w:val="Normal"/>
    <w:link w:val="BalloonTextChar"/>
    <w:uiPriority w:val="99"/>
    <w:semiHidden/>
    <w:unhideWhenUsed/>
    <w:rsid w:val="00643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31"/>
    <w:rPr>
      <w:rFonts w:ascii="Segoe UI" w:hAnsi="Segoe UI" w:cs="Segoe UI"/>
      <w:sz w:val="18"/>
      <w:szCs w:val="18"/>
    </w:rPr>
  </w:style>
  <w:style w:type="paragraph" w:styleId="FootnoteText">
    <w:name w:val="footnote text"/>
    <w:basedOn w:val="Normal"/>
    <w:link w:val="FootnoteTextChar"/>
    <w:uiPriority w:val="99"/>
    <w:semiHidden/>
    <w:unhideWhenUsed/>
    <w:rsid w:val="008F77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7D9"/>
    <w:rPr>
      <w:sz w:val="20"/>
      <w:szCs w:val="20"/>
    </w:rPr>
  </w:style>
  <w:style w:type="character" w:styleId="FootnoteReference">
    <w:name w:val="footnote reference"/>
    <w:basedOn w:val="DefaultParagraphFont"/>
    <w:uiPriority w:val="99"/>
    <w:semiHidden/>
    <w:unhideWhenUsed/>
    <w:rsid w:val="008F77D9"/>
    <w:rPr>
      <w:vertAlign w:val="superscript"/>
    </w:rPr>
  </w:style>
  <w:style w:type="paragraph" w:styleId="Header">
    <w:name w:val="header"/>
    <w:basedOn w:val="Normal"/>
    <w:link w:val="HeaderChar"/>
    <w:uiPriority w:val="99"/>
    <w:unhideWhenUsed/>
    <w:rsid w:val="00CF6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3"/>
  </w:style>
  <w:style w:type="paragraph" w:styleId="Footer">
    <w:name w:val="footer"/>
    <w:basedOn w:val="Normal"/>
    <w:link w:val="FooterChar"/>
    <w:uiPriority w:val="99"/>
    <w:unhideWhenUsed/>
    <w:rsid w:val="00CF6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63460">
      <w:bodyDiv w:val="1"/>
      <w:marLeft w:val="0"/>
      <w:marRight w:val="0"/>
      <w:marTop w:val="0"/>
      <w:marBottom w:val="0"/>
      <w:divBdr>
        <w:top w:val="none" w:sz="0" w:space="0" w:color="auto"/>
        <w:left w:val="none" w:sz="0" w:space="0" w:color="auto"/>
        <w:bottom w:val="none" w:sz="0" w:space="0" w:color="auto"/>
        <w:right w:val="none" w:sz="0" w:space="0" w:color="auto"/>
      </w:divBdr>
      <w:divsChild>
        <w:div w:id="457407855">
          <w:marLeft w:val="0"/>
          <w:marRight w:val="0"/>
          <w:marTop w:val="0"/>
          <w:marBottom w:val="0"/>
          <w:divBdr>
            <w:top w:val="none" w:sz="0" w:space="0" w:color="auto"/>
            <w:left w:val="none" w:sz="0" w:space="0" w:color="auto"/>
            <w:bottom w:val="none" w:sz="0" w:space="0" w:color="auto"/>
            <w:right w:val="none" w:sz="0" w:space="0" w:color="auto"/>
          </w:divBdr>
        </w:div>
      </w:divsChild>
    </w:div>
    <w:div w:id="1382173611">
      <w:bodyDiv w:val="1"/>
      <w:marLeft w:val="0"/>
      <w:marRight w:val="0"/>
      <w:marTop w:val="0"/>
      <w:marBottom w:val="0"/>
      <w:divBdr>
        <w:top w:val="none" w:sz="0" w:space="0" w:color="auto"/>
        <w:left w:val="none" w:sz="0" w:space="0" w:color="auto"/>
        <w:bottom w:val="none" w:sz="0" w:space="0" w:color="auto"/>
        <w:right w:val="none" w:sz="0" w:space="0" w:color="auto"/>
      </w:divBdr>
      <w:divsChild>
        <w:div w:id="1709791134">
          <w:marLeft w:val="0"/>
          <w:marRight w:val="0"/>
          <w:marTop w:val="0"/>
          <w:marBottom w:val="0"/>
          <w:divBdr>
            <w:top w:val="none" w:sz="0" w:space="0" w:color="auto"/>
            <w:left w:val="none" w:sz="0" w:space="0" w:color="auto"/>
            <w:bottom w:val="none" w:sz="0" w:space="0" w:color="auto"/>
            <w:right w:val="none" w:sz="0" w:space="0" w:color="auto"/>
          </w:divBdr>
        </w:div>
      </w:divsChild>
    </w:div>
    <w:div w:id="21141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A8C4-82C2-4CD9-858A-FA8BC7B0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Dragana Cerepnalkovska</cp:lastModifiedBy>
  <cp:revision>4</cp:revision>
  <dcterms:created xsi:type="dcterms:W3CDTF">2022-01-03T13:02:00Z</dcterms:created>
  <dcterms:modified xsi:type="dcterms:W3CDTF">2022-01-04T09:37:00Z</dcterms:modified>
</cp:coreProperties>
</file>