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6FD6" w14:textId="5E3126BA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24E53E82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099BCBEF" w14:textId="4CFA964E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7540D1" w:rsidRPr="000C5431">
        <w:rPr>
          <w:rFonts w:ascii="Times New Roman" w:hAnsi="Times New Roman"/>
          <w:b/>
          <w:sz w:val="28"/>
          <w:szCs w:val="28"/>
          <w:lang w:val="en-GB"/>
        </w:rPr>
        <w:t>TRAP/</w:t>
      </w:r>
      <w:proofErr w:type="spellStart"/>
      <w:r w:rsidR="007540D1" w:rsidRPr="000C5431">
        <w:rPr>
          <w:rFonts w:ascii="Times New Roman" w:hAnsi="Times New Roman"/>
          <w:b/>
          <w:sz w:val="28"/>
          <w:szCs w:val="28"/>
          <w:lang w:val="en-GB"/>
        </w:rPr>
        <w:t>MoEPP</w:t>
      </w:r>
      <w:proofErr w:type="spellEnd"/>
      <w:r w:rsidR="007540D1" w:rsidRPr="000C5431">
        <w:rPr>
          <w:rFonts w:ascii="Times New Roman" w:hAnsi="Times New Roman"/>
          <w:b/>
          <w:sz w:val="28"/>
          <w:szCs w:val="28"/>
          <w:lang w:val="en-GB"/>
        </w:rPr>
        <w:t>/MK/2018/TD0</w:t>
      </w:r>
      <w:r w:rsidR="000C5431" w:rsidRPr="000C5431">
        <w:rPr>
          <w:rFonts w:ascii="Times New Roman" w:hAnsi="Times New Roman"/>
          <w:b/>
          <w:sz w:val="28"/>
          <w:szCs w:val="28"/>
          <w:lang w:val="en-GB"/>
        </w:rPr>
        <w:t>3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540D1">
        <w:rPr>
          <w:rFonts w:ascii="Times New Roman" w:hAnsi="Times New Roman"/>
          <w:b/>
          <w:sz w:val="28"/>
          <w:szCs w:val="28"/>
          <w:lang w:val="en-GB"/>
        </w:rPr>
        <w:t>________________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410"/>
        <w:gridCol w:w="3126"/>
        <w:gridCol w:w="2977"/>
        <w:gridCol w:w="2915"/>
      </w:tblGrid>
      <w:tr w:rsidR="00295518" w:rsidRPr="00471CC6" w14:paraId="08E5C58E" w14:textId="77777777" w:rsidTr="00DF11BF">
        <w:trPr>
          <w:trHeight w:val="484"/>
          <w:jc w:val="center"/>
        </w:trPr>
        <w:tc>
          <w:tcPr>
            <w:tcW w:w="1358" w:type="dxa"/>
            <w:tcBorders>
              <w:top w:val="threeDEmboss" w:sz="24" w:space="0" w:color="auto"/>
              <w:bottom w:val="single" w:sz="6" w:space="0" w:color="auto"/>
            </w:tcBorders>
          </w:tcPr>
          <w:p w14:paraId="1397A5ED" w14:textId="6A1F86E5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410" w:type="dxa"/>
            <w:tcBorders>
              <w:top w:val="threeDEmboss" w:sz="24" w:space="0" w:color="auto"/>
              <w:bottom w:val="single" w:sz="6" w:space="0" w:color="auto"/>
            </w:tcBorders>
          </w:tcPr>
          <w:p w14:paraId="3BC53D41" w14:textId="77777777" w:rsidR="00295518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26" w:type="dxa"/>
            <w:tcBorders>
              <w:top w:val="threeDEmboss" w:sz="24" w:space="0" w:color="auto"/>
              <w:bottom w:val="single" w:sz="6" w:space="0" w:color="auto"/>
            </w:tcBorders>
          </w:tcPr>
          <w:p w14:paraId="18CBBD62" w14:textId="5686EDA2" w:rsidR="00295518" w:rsidRPr="007540D1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977" w:type="dxa"/>
            <w:tcBorders>
              <w:top w:val="threeDEmboss" w:sz="24" w:space="0" w:color="auto"/>
              <w:bottom w:val="single" w:sz="6" w:space="0" w:color="auto"/>
            </w:tcBorders>
          </w:tcPr>
          <w:p w14:paraId="5B2D191D" w14:textId="11575604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15" w:type="dxa"/>
            <w:tcBorders>
              <w:top w:val="threeDEmboss" w:sz="24" w:space="0" w:color="auto"/>
              <w:bottom w:val="single" w:sz="6" w:space="0" w:color="auto"/>
            </w:tcBorders>
          </w:tcPr>
          <w:p w14:paraId="6C29566F" w14:textId="5E8B9C16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295518" w:rsidRPr="00471CC6" w14:paraId="1B531D27" w14:textId="77777777" w:rsidTr="00A52E7B">
        <w:trPr>
          <w:trHeight w:val="484"/>
          <w:jc w:val="center"/>
        </w:trPr>
        <w:tc>
          <w:tcPr>
            <w:tcW w:w="1358" w:type="dxa"/>
          </w:tcPr>
          <w:p w14:paraId="760F804D" w14:textId="2CEFE085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 number</w:t>
            </w:r>
          </w:p>
        </w:tc>
        <w:tc>
          <w:tcPr>
            <w:tcW w:w="1410" w:type="dxa"/>
          </w:tcPr>
          <w:p w14:paraId="4BB9F977" w14:textId="098510B5" w:rsidR="00295518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26" w:type="dxa"/>
          </w:tcPr>
          <w:p w14:paraId="38A42EDC" w14:textId="50DEA0AE" w:rsidR="00295518" w:rsidRPr="007540D1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2977" w:type="dxa"/>
          </w:tcPr>
          <w:p w14:paraId="6EF309CA" w14:textId="77777777" w:rsidR="00295518" w:rsidRPr="00345D88" w:rsidRDefault="00295518" w:rsidP="0029551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DDP]</w:t>
            </w:r>
            <w:bookmarkStart w:id="1" w:name="_Ref21333912"/>
            <w:r w:rsidRPr="00345D88">
              <w:rPr>
                <w:b/>
              </w:rPr>
              <w:footnoteReference w:id="1"/>
            </w:r>
            <w:bookmarkEnd w:id="1"/>
          </w:p>
          <w:p w14:paraId="7CCB7CA5" w14:textId="77777777" w:rsidR="00295518" w:rsidRPr="00345D88" w:rsidRDefault="00295518" w:rsidP="00295518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&lt;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yellow"/>
                <w:lang w:val="en-GB"/>
              </w:rPr>
              <w:t>place of acceptance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&gt;</w:t>
            </w:r>
          </w:p>
          <w:p w14:paraId="0DA68597" w14:textId="262EEE71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</w:p>
        </w:tc>
        <w:tc>
          <w:tcPr>
            <w:tcW w:w="2915" w:type="dxa"/>
          </w:tcPr>
          <w:p w14:paraId="35B90C9F" w14:textId="77777777" w:rsidR="00295518" w:rsidRPr="00345D88" w:rsidRDefault="00295518" w:rsidP="0029551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485FB943" w14:textId="1725F4D9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[</w:t>
            </w:r>
            <w:r w:rsidRPr="00094A6A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EUR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295518" w:rsidRPr="00471CC6" w14:paraId="40069C35" w14:textId="77777777" w:rsidTr="00295518">
        <w:trPr>
          <w:trHeight w:val="484"/>
          <w:jc w:val="center"/>
        </w:trPr>
        <w:tc>
          <w:tcPr>
            <w:tcW w:w="1358" w:type="dxa"/>
            <w:vAlign w:val="center"/>
          </w:tcPr>
          <w:p w14:paraId="3FE5D1A3" w14:textId="77777777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410" w:type="dxa"/>
            <w:vAlign w:val="center"/>
          </w:tcPr>
          <w:p w14:paraId="6EA823A4" w14:textId="557990D8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436C4B15" w14:textId="01947DAF" w:rsidR="00295518" w:rsidRPr="00471CC6" w:rsidRDefault="00E608FF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E608FF">
              <w:rPr>
                <w:rFonts w:ascii="Times New Roman" w:hAnsi="Times New Roman"/>
                <w:sz w:val="22"/>
                <w:lang w:val="en-GB"/>
              </w:rPr>
              <w:t xml:space="preserve">Air quality Monitoring station (includes the following set of </w:t>
            </w:r>
            <w:proofErr w:type="spellStart"/>
            <w:r w:rsidRPr="00E608FF">
              <w:rPr>
                <w:rFonts w:ascii="Times New Roman" w:hAnsi="Times New Roman"/>
                <w:sz w:val="22"/>
                <w:lang w:val="en-GB"/>
              </w:rPr>
              <w:t>analyzers</w:t>
            </w:r>
            <w:proofErr w:type="spellEnd"/>
            <w:r w:rsidRPr="00E608FF">
              <w:rPr>
                <w:rFonts w:ascii="Times New Roman" w:hAnsi="Times New Roman"/>
                <w:sz w:val="22"/>
                <w:lang w:val="en-GB"/>
              </w:rPr>
              <w:t xml:space="preserve">: PM2.5, PM10, O3, NO-NO2-NOx, SO2 and CO </w:t>
            </w:r>
            <w:proofErr w:type="spellStart"/>
            <w:r w:rsidRPr="00E608FF">
              <w:rPr>
                <w:rFonts w:ascii="Times New Roman" w:hAnsi="Times New Roman"/>
                <w:sz w:val="22"/>
                <w:lang w:val="en-GB"/>
              </w:rPr>
              <w:t>analyzers</w:t>
            </w:r>
            <w:proofErr w:type="spellEnd"/>
            <w:r w:rsidRPr="00E608FF">
              <w:rPr>
                <w:rFonts w:ascii="Times New Roman" w:hAnsi="Times New Roman"/>
                <w:sz w:val="22"/>
                <w:lang w:val="en-GB"/>
              </w:rPr>
              <w:t>,  container, Calibration gases with calibrator and zero gas generator meteorological equipment, Data acquisition system (Data logger</w:t>
            </w:r>
            <w:r w:rsidR="00353DE4">
              <w:rPr>
                <w:rFonts w:ascii="Times New Roman" w:hAnsi="Times New Roman"/>
                <w:sz w:val="22"/>
                <w:lang w:val="en-GB"/>
              </w:rPr>
              <w:t>,</w:t>
            </w:r>
            <w:r w:rsidRPr="00E608FF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="00353DE4">
              <w:rPr>
                <w:rFonts w:ascii="Times New Roman" w:hAnsi="Times New Roman"/>
                <w:sz w:val="22"/>
                <w:lang w:val="en-GB"/>
              </w:rPr>
              <w:t>4G GSM</w:t>
            </w:r>
            <w:r w:rsidRPr="00E608FF">
              <w:rPr>
                <w:rFonts w:ascii="Times New Roman" w:hAnsi="Times New Roman"/>
                <w:sz w:val="22"/>
                <w:lang w:val="en-GB"/>
              </w:rPr>
              <w:t xml:space="preserve"> router and software), PM10 (PM2.5, PM1) sequential standard reference sampler, PC (lap-top)</w:t>
            </w:r>
            <w:r w:rsidR="00553BA3">
              <w:rPr>
                <w:rFonts w:ascii="Times New Roman" w:hAnsi="Times New Roman"/>
                <w:sz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2C892BE3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25657357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62C9B008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58A381A8" w14:textId="77777777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lastRenderedPageBreak/>
              <w:t>2</w:t>
            </w:r>
          </w:p>
        </w:tc>
        <w:tc>
          <w:tcPr>
            <w:tcW w:w="1410" w:type="dxa"/>
            <w:vAlign w:val="center"/>
          </w:tcPr>
          <w:p w14:paraId="13B1F329" w14:textId="4F9BBBF5" w:rsidR="00295518" w:rsidRPr="00183AAF" w:rsidRDefault="00183AAF" w:rsidP="003E053E">
            <w:pPr>
              <w:jc w:val="center"/>
              <w:rPr>
                <w:rFonts w:ascii="Times New Roman" w:hAnsi="Times New Roman"/>
                <w:sz w:val="22"/>
                <w:vertAlign w:val="superscript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2CCA194D" w14:textId="3B25070E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7540D1">
              <w:rPr>
                <w:rFonts w:ascii="Times New Roman" w:hAnsi="Times New Roman"/>
                <w:sz w:val="22"/>
                <w:lang w:val="en-GB"/>
              </w:rPr>
              <w:t xml:space="preserve">Automatic </w:t>
            </w:r>
            <w:proofErr w:type="spellStart"/>
            <w:r w:rsidRPr="007540D1">
              <w:rPr>
                <w:rFonts w:ascii="Times New Roman" w:hAnsi="Times New Roman"/>
                <w:sz w:val="22"/>
                <w:lang w:val="en-GB"/>
              </w:rPr>
              <w:t>analyzer</w:t>
            </w:r>
            <w:proofErr w:type="spellEnd"/>
            <w:r w:rsidRPr="007540D1">
              <w:rPr>
                <w:rFonts w:ascii="Times New Roman" w:hAnsi="Times New Roman"/>
                <w:sz w:val="22"/>
                <w:lang w:val="en-GB"/>
              </w:rPr>
              <w:t xml:space="preserve"> for measuring of suspended particulate matter PM10</w:t>
            </w:r>
          </w:p>
        </w:tc>
        <w:tc>
          <w:tcPr>
            <w:tcW w:w="2977" w:type="dxa"/>
          </w:tcPr>
          <w:p w14:paraId="60397BA8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1849D053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3891A6CE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56FB057F" w14:textId="4D401C29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3</w:t>
            </w:r>
          </w:p>
        </w:tc>
        <w:tc>
          <w:tcPr>
            <w:tcW w:w="1410" w:type="dxa"/>
            <w:vAlign w:val="center"/>
          </w:tcPr>
          <w:p w14:paraId="770ECEFF" w14:textId="24868923" w:rsidR="00295518" w:rsidRPr="00471CC6" w:rsidRDefault="00175FD9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0E280221" w14:textId="635A67B1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7540D1">
              <w:rPr>
                <w:rFonts w:ascii="Times New Roman" w:hAnsi="Times New Roman"/>
                <w:sz w:val="22"/>
                <w:lang w:val="en-GB"/>
              </w:rPr>
              <w:t xml:space="preserve">Automatic </w:t>
            </w:r>
            <w:proofErr w:type="spellStart"/>
            <w:r w:rsidRPr="007540D1">
              <w:rPr>
                <w:rFonts w:ascii="Times New Roman" w:hAnsi="Times New Roman"/>
                <w:sz w:val="22"/>
                <w:lang w:val="en-GB"/>
              </w:rPr>
              <w:t>analyzer</w:t>
            </w:r>
            <w:proofErr w:type="spellEnd"/>
            <w:r w:rsidRPr="007540D1">
              <w:rPr>
                <w:rFonts w:ascii="Times New Roman" w:hAnsi="Times New Roman"/>
                <w:sz w:val="22"/>
                <w:lang w:val="en-GB"/>
              </w:rPr>
              <w:t xml:space="preserve"> for measuring of suspended particulate matter P</w:t>
            </w:r>
            <w:r>
              <w:rPr>
                <w:rFonts w:ascii="Times New Roman" w:hAnsi="Times New Roman"/>
                <w:sz w:val="22"/>
                <w:lang w:val="en-GB"/>
              </w:rPr>
              <w:t>M2.5</w:t>
            </w:r>
            <w:r w:rsidR="00C5157C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2FE65846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32D53652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498E6FC0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4386C8E6" w14:textId="2F851E26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4</w:t>
            </w:r>
          </w:p>
        </w:tc>
        <w:tc>
          <w:tcPr>
            <w:tcW w:w="1410" w:type="dxa"/>
            <w:vAlign w:val="center"/>
          </w:tcPr>
          <w:p w14:paraId="24D5E70A" w14:textId="5847C31A" w:rsidR="00295518" w:rsidRPr="00471CC6" w:rsidRDefault="00175FD9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3D0D290C" w14:textId="0ED489C7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80227C">
              <w:rPr>
                <w:rFonts w:ascii="Times New Roman" w:hAnsi="Times New Roman"/>
                <w:sz w:val="22"/>
              </w:rPr>
              <w:t>Sulphur dioxide (SO2) analyzer</w:t>
            </w:r>
          </w:p>
        </w:tc>
        <w:tc>
          <w:tcPr>
            <w:tcW w:w="2977" w:type="dxa"/>
          </w:tcPr>
          <w:p w14:paraId="3CEC96F6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5B6840E5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2276031D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4B9D7554" w14:textId="20E255B3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5</w:t>
            </w:r>
          </w:p>
        </w:tc>
        <w:tc>
          <w:tcPr>
            <w:tcW w:w="1410" w:type="dxa"/>
            <w:vAlign w:val="center"/>
          </w:tcPr>
          <w:p w14:paraId="72AAE6DD" w14:textId="5414AFE9" w:rsidR="00295518" w:rsidRPr="00471CC6" w:rsidRDefault="00183AAF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216793D7" w14:textId="5B2EDED2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80227C">
              <w:rPr>
                <w:rFonts w:ascii="Times New Roman" w:hAnsi="Times New Roman"/>
                <w:sz w:val="22"/>
              </w:rPr>
              <w:t>Nitrogen dioxide and oxides of nitrogen (NO - NO2 – NOX) analyzer</w:t>
            </w:r>
          </w:p>
        </w:tc>
        <w:tc>
          <w:tcPr>
            <w:tcW w:w="2977" w:type="dxa"/>
          </w:tcPr>
          <w:p w14:paraId="1D9F53C8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045DEDBC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2068F577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60D55673" w14:textId="25FE68DB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6</w:t>
            </w:r>
          </w:p>
        </w:tc>
        <w:tc>
          <w:tcPr>
            <w:tcW w:w="1410" w:type="dxa"/>
            <w:vAlign w:val="center"/>
          </w:tcPr>
          <w:p w14:paraId="73626E23" w14:textId="38AD53F6" w:rsidR="00295518" w:rsidRPr="00471CC6" w:rsidRDefault="00183AAF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2228384B" w14:textId="76A331D9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80227C">
              <w:rPr>
                <w:rFonts w:ascii="Times New Roman" w:hAnsi="Times New Roman"/>
                <w:sz w:val="22"/>
              </w:rPr>
              <w:t>Carbon monoxide (CO) analyzer</w:t>
            </w:r>
          </w:p>
        </w:tc>
        <w:tc>
          <w:tcPr>
            <w:tcW w:w="2977" w:type="dxa"/>
          </w:tcPr>
          <w:p w14:paraId="7C044738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4B2D3577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4D723A66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578DD5FD" w14:textId="2C094F35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7</w:t>
            </w:r>
          </w:p>
        </w:tc>
        <w:tc>
          <w:tcPr>
            <w:tcW w:w="1410" w:type="dxa"/>
            <w:vAlign w:val="center"/>
          </w:tcPr>
          <w:p w14:paraId="77572592" w14:textId="6C7AE7CB" w:rsidR="00295518" w:rsidRPr="00471CC6" w:rsidRDefault="00183AAF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654949FF" w14:textId="19FF3713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80227C">
              <w:rPr>
                <w:rFonts w:ascii="Times New Roman" w:hAnsi="Times New Roman"/>
                <w:sz w:val="22"/>
              </w:rPr>
              <w:t>Ozone (O3) analyzer</w:t>
            </w:r>
          </w:p>
        </w:tc>
        <w:tc>
          <w:tcPr>
            <w:tcW w:w="2977" w:type="dxa"/>
          </w:tcPr>
          <w:p w14:paraId="47A8B47F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2E214574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486DF5E0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541A3921" w14:textId="7C308030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8</w:t>
            </w:r>
          </w:p>
        </w:tc>
        <w:tc>
          <w:tcPr>
            <w:tcW w:w="1410" w:type="dxa"/>
            <w:vAlign w:val="center"/>
          </w:tcPr>
          <w:p w14:paraId="0D0E9BA8" w14:textId="3D0AAC80" w:rsidR="00295518" w:rsidRPr="00471CC6" w:rsidRDefault="00183AAF" w:rsidP="003E053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04762865" w14:textId="65058FD9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80227C">
              <w:rPr>
                <w:rFonts w:ascii="Times New Roman" w:hAnsi="Times New Roman"/>
                <w:sz w:val="22"/>
              </w:rPr>
              <w:t>Meteorological equipment</w:t>
            </w:r>
          </w:p>
        </w:tc>
        <w:tc>
          <w:tcPr>
            <w:tcW w:w="2977" w:type="dxa"/>
          </w:tcPr>
          <w:p w14:paraId="43F84C2F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278F8855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4A93BB0D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0FB95B34" w14:textId="728B6D48" w:rsidR="00295518" w:rsidRPr="00471CC6" w:rsidRDefault="00E608FF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9</w:t>
            </w:r>
          </w:p>
        </w:tc>
        <w:tc>
          <w:tcPr>
            <w:tcW w:w="1410" w:type="dxa"/>
            <w:vAlign w:val="center"/>
          </w:tcPr>
          <w:p w14:paraId="54EC8A71" w14:textId="5D888DEE" w:rsidR="00295518" w:rsidRPr="00471CC6" w:rsidRDefault="00183AAF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118805DE" w14:textId="79E48EDB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80227C">
              <w:rPr>
                <w:rFonts w:ascii="Times New Roman" w:hAnsi="Times New Roman"/>
                <w:sz w:val="22"/>
              </w:rPr>
              <w:t>PM10 (PM2.5, PM1) SEQUENTIAL STANDARD REFERENCE SAMPLER</w:t>
            </w:r>
          </w:p>
        </w:tc>
        <w:tc>
          <w:tcPr>
            <w:tcW w:w="2977" w:type="dxa"/>
          </w:tcPr>
          <w:p w14:paraId="2A55CFF2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39173687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268701D7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59ABEEA5" w14:textId="2DAC6696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  <w:r w:rsidR="00E608FF">
              <w:rPr>
                <w:rFonts w:ascii="Times New Roman" w:hAnsi="Times New Roman"/>
                <w:b/>
                <w:sz w:val="22"/>
                <w:lang w:val="en-GB"/>
              </w:rPr>
              <w:t>0</w:t>
            </w:r>
          </w:p>
        </w:tc>
        <w:tc>
          <w:tcPr>
            <w:tcW w:w="1410" w:type="dxa"/>
            <w:vAlign w:val="center"/>
          </w:tcPr>
          <w:p w14:paraId="33EF1FBC" w14:textId="5AB9BEB9" w:rsidR="00295518" w:rsidRPr="00471CC6" w:rsidRDefault="00183AAF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77A1496F" w14:textId="1258F4CC" w:rsidR="00295518" w:rsidRPr="000C459B" w:rsidRDefault="00295518" w:rsidP="00DF11BF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295518">
              <w:rPr>
                <w:rFonts w:ascii="Times New Roman" w:hAnsi="Times New Roman"/>
                <w:sz w:val="22"/>
                <w:szCs w:val="22"/>
              </w:rPr>
              <w:t xml:space="preserve">Data acquisition system (Data logger, </w:t>
            </w:r>
            <w:r w:rsidR="00353DE4">
              <w:rPr>
                <w:rFonts w:ascii="Times New Roman" w:hAnsi="Times New Roman"/>
                <w:sz w:val="22"/>
                <w:szCs w:val="22"/>
              </w:rPr>
              <w:t>4G GSM</w:t>
            </w:r>
            <w:r w:rsidRPr="00295518">
              <w:rPr>
                <w:rFonts w:ascii="Times New Roman" w:hAnsi="Times New Roman"/>
                <w:sz w:val="22"/>
                <w:szCs w:val="22"/>
              </w:rPr>
              <w:t xml:space="preserve"> router and software)</w:t>
            </w:r>
          </w:p>
        </w:tc>
        <w:tc>
          <w:tcPr>
            <w:tcW w:w="2977" w:type="dxa"/>
          </w:tcPr>
          <w:p w14:paraId="018B14E0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4FAC7811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37DBFF7B" w14:textId="77777777" w:rsidTr="00295518">
        <w:trPr>
          <w:trHeight w:val="548"/>
          <w:jc w:val="center"/>
        </w:trPr>
        <w:tc>
          <w:tcPr>
            <w:tcW w:w="1358" w:type="dxa"/>
            <w:vAlign w:val="center"/>
          </w:tcPr>
          <w:p w14:paraId="3E5E1A02" w14:textId="6FC6EE71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  <w:r w:rsidR="00E608FF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410" w:type="dxa"/>
            <w:vAlign w:val="center"/>
          </w:tcPr>
          <w:p w14:paraId="3B189CE9" w14:textId="22D6A230" w:rsidR="00295518" w:rsidRPr="00471CC6" w:rsidRDefault="00183AAF" w:rsidP="003E053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3A487CD9" w14:textId="26D2C54B" w:rsidR="00295518" w:rsidRPr="00471CC6" w:rsidRDefault="00E608FF" w:rsidP="00DF11BF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PC (</w:t>
            </w:r>
            <w:r w:rsidR="00295518" w:rsidRPr="00295518">
              <w:rPr>
                <w:rFonts w:ascii="Times New Roman" w:hAnsi="Times New Roman"/>
                <w:sz w:val="22"/>
                <w:szCs w:val="22"/>
              </w:rPr>
              <w:t>Laptop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09EA6162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7FA6AA30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4185ABC2" w14:textId="77777777" w:rsidTr="00295518">
        <w:trPr>
          <w:trHeight w:val="542"/>
          <w:jc w:val="center"/>
        </w:trPr>
        <w:tc>
          <w:tcPr>
            <w:tcW w:w="1358" w:type="dxa"/>
            <w:vAlign w:val="center"/>
          </w:tcPr>
          <w:p w14:paraId="6E72FF5E" w14:textId="1462511F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  <w:r w:rsidR="00E608FF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410" w:type="dxa"/>
            <w:vAlign w:val="center"/>
          </w:tcPr>
          <w:p w14:paraId="4CBB9888" w14:textId="1E37592C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3126" w:type="dxa"/>
          </w:tcPr>
          <w:p w14:paraId="53D77C16" w14:textId="151878AF" w:rsidR="00295518" w:rsidRPr="00471CC6" w:rsidRDefault="00295518" w:rsidP="00DF11BF">
            <w:pPr>
              <w:rPr>
                <w:rFonts w:ascii="Times New Roman" w:hAnsi="Times New Roman"/>
                <w:sz w:val="22"/>
                <w:lang w:val="en-GB"/>
              </w:rPr>
            </w:pPr>
            <w:r w:rsidRPr="00295518">
              <w:rPr>
                <w:rFonts w:ascii="Times New Roman" w:hAnsi="Times New Roman"/>
                <w:sz w:val="22"/>
                <w:lang w:val="en-GB"/>
              </w:rPr>
              <w:t>Training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 for all items</w:t>
            </w:r>
          </w:p>
        </w:tc>
        <w:tc>
          <w:tcPr>
            <w:tcW w:w="2977" w:type="dxa"/>
          </w:tcPr>
          <w:p w14:paraId="0CC03A4D" w14:textId="6368CF19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15" w:type="dxa"/>
          </w:tcPr>
          <w:p w14:paraId="45895B70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95518" w:rsidRPr="00471CC6" w14:paraId="3F305A11" w14:textId="77777777" w:rsidTr="00295518">
        <w:trPr>
          <w:trHeight w:val="402"/>
          <w:jc w:val="center"/>
        </w:trPr>
        <w:tc>
          <w:tcPr>
            <w:tcW w:w="1358" w:type="dxa"/>
          </w:tcPr>
          <w:p w14:paraId="4A796367" w14:textId="77777777" w:rsidR="00295518" w:rsidRPr="00471CC6" w:rsidRDefault="00295518" w:rsidP="00295518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410" w:type="dxa"/>
          </w:tcPr>
          <w:p w14:paraId="2DE733F8" w14:textId="77777777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26" w:type="dxa"/>
          </w:tcPr>
          <w:p w14:paraId="19C18ADC" w14:textId="5AA8A2ED" w:rsidR="00295518" w:rsidRPr="00471CC6" w:rsidRDefault="00295518" w:rsidP="0029551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77" w:type="dxa"/>
          </w:tcPr>
          <w:p w14:paraId="30F8E4A0" w14:textId="77777777" w:rsidR="00295518" w:rsidRPr="00A273CA" w:rsidRDefault="00295518" w:rsidP="00295518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15" w:type="dxa"/>
          </w:tcPr>
          <w:p w14:paraId="5767ABA2" w14:textId="77777777" w:rsidR="00295518" w:rsidRPr="00471CC6" w:rsidRDefault="00295518" w:rsidP="0029551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64C063A0" w14:textId="6FA02D7E" w:rsidR="007540D1" w:rsidRPr="003E053E" w:rsidRDefault="007540D1" w:rsidP="003E053E">
      <w:bookmarkStart w:id="2" w:name="_GoBack"/>
      <w:bookmarkEnd w:id="2"/>
    </w:p>
    <w:sectPr w:rsidR="007540D1" w:rsidRPr="003E053E" w:rsidSect="003E0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40" w:h="11907" w:orient="landscape" w:code="9"/>
      <w:pgMar w:top="567" w:right="1134" w:bottom="993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42879" w14:textId="77777777" w:rsidR="009617B6" w:rsidRDefault="009617B6">
      <w:r>
        <w:separator/>
      </w:r>
    </w:p>
  </w:endnote>
  <w:endnote w:type="continuationSeparator" w:id="0">
    <w:p w14:paraId="2FF07D5E" w14:textId="77777777" w:rsidR="009617B6" w:rsidRDefault="0096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4048" w14:textId="77777777" w:rsidR="00FE13E1" w:rsidRDefault="00F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9729" w14:textId="77777777" w:rsidR="00E07ABE" w:rsidRPr="004947CB" w:rsidRDefault="00BD1461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636E92">
      <w:rPr>
        <w:rFonts w:ascii="Times New Roman" w:hAnsi="Times New Roman"/>
        <w:noProof/>
        <w:sz w:val="18"/>
        <w:szCs w:val="18"/>
        <w:lang w:val="en-GB"/>
      </w:rPr>
      <w:t>3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636E92">
      <w:rPr>
        <w:rFonts w:ascii="Times New Roman" w:hAnsi="Times New Roman"/>
        <w:noProof/>
        <w:sz w:val="18"/>
        <w:szCs w:val="18"/>
        <w:lang w:val="en-GB"/>
      </w:rPr>
      <w:t>3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14:paraId="4EF7E233" w14:textId="77777777"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6C5E0" w14:textId="77777777" w:rsidR="007E2185" w:rsidRPr="00345D88" w:rsidRDefault="00BD1461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636E92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636E92">
      <w:rPr>
        <w:rFonts w:ascii="Times New Roman" w:hAnsi="Times New Roman"/>
        <w:noProof/>
        <w:sz w:val="18"/>
        <w:szCs w:val="18"/>
        <w:lang w:val="en-GB"/>
      </w:rPr>
      <w:t>3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14:paraId="2BA2207B" w14:textId="77777777"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E690" w14:textId="77777777" w:rsidR="009617B6" w:rsidRDefault="009617B6">
      <w:r>
        <w:separator/>
      </w:r>
    </w:p>
  </w:footnote>
  <w:footnote w:type="continuationSeparator" w:id="0">
    <w:p w14:paraId="32AB30AB" w14:textId="77777777" w:rsidR="009617B6" w:rsidRDefault="009617B6">
      <w:r>
        <w:continuationSeparator/>
      </w:r>
    </w:p>
  </w:footnote>
  <w:footnote w:id="1">
    <w:p w14:paraId="2A50E69D" w14:textId="046E0669" w:rsidR="00183AAF" w:rsidRDefault="00295518" w:rsidP="00183AAF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Pr="00473368">
        <w:rPr>
          <w:rFonts w:ascii="Times New Roman" w:hAnsi="Times New Roman"/>
          <w:lang w:val="en-GB"/>
        </w:rPr>
        <w:tab/>
      </w:r>
      <w:r w:rsidRPr="002F33B3">
        <w:rPr>
          <w:rFonts w:ascii="Times New Roman" w:hAnsi="Times New Roman"/>
          <w:lang w:val="en-GB"/>
        </w:rPr>
        <w:t>[</w:t>
      </w:r>
      <w:r w:rsidRPr="00295518">
        <w:rPr>
          <w:rFonts w:ascii="Times New Roman" w:hAnsi="Times New Roman"/>
          <w:lang w:val="en-GB"/>
        </w:rPr>
        <w:t>DDP (Delivered Duty Paid)]</w:t>
      </w:r>
      <w:r w:rsidRPr="00473368">
        <w:rPr>
          <w:rFonts w:ascii="Times New Roman" w:hAnsi="Times New Roman"/>
          <w:lang w:val="en-GB"/>
        </w:rPr>
        <w:t xml:space="preserve">— Incoterms 2010 International Chamber of Commerce </w:t>
      </w:r>
      <w:hyperlink r:id="rId1" w:history="1">
        <w:r w:rsidRPr="00473368">
          <w:rPr>
            <w:rStyle w:val="Hyperlink"/>
            <w:rFonts w:ascii="Times New Roman" w:hAnsi="Times New Roman"/>
            <w:lang w:val="en-GB"/>
          </w:rPr>
          <w:t>http://www.iccwbo.org/products-and-services/trade-facilitation/incoterms-2010/the-incoterms-rules/</w:t>
        </w:r>
      </w:hyperlink>
      <w:r w:rsidRPr="00473368">
        <w:rPr>
          <w:rFonts w:ascii="Times New Roman" w:hAnsi="Times New Roman"/>
          <w:lang w:val="en-GB"/>
        </w:rPr>
        <w:t xml:space="preserve"> .</w:t>
      </w:r>
    </w:p>
    <w:p w14:paraId="14E52494" w14:textId="77777777" w:rsidR="00295518" w:rsidRPr="00473368" w:rsidRDefault="00295518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7FDD9" w14:textId="77777777" w:rsidR="00FE13E1" w:rsidRDefault="00F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22D8" w14:textId="77777777" w:rsidR="00FE13E1" w:rsidRDefault="00F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0B21" w14:textId="77777777" w:rsidR="00FE13E1" w:rsidRDefault="00F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7C8D"/>
    <w:multiLevelType w:val="hybridMultilevel"/>
    <w:tmpl w:val="296693BE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1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5"/>
  </w:num>
  <w:num w:numId="5">
    <w:abstractNumId w:val="21"/>
  </w:num>
  <w:num w:numId="6">
    <w:abstractNumId w:val="16"/>
  </w:num>
  <w:num w:numId="7">
    <w:abstractNumId w:val="14"/>
  </w:num>
  <w:num w:numId="8">
    <w:abstractNumId w:val="20"/>
  </w:num>
  <w:num w:numId="9">
    <w:abstractNumId w:val="38"/>
  </w:num>
  <w:num w:numId="10">
    <w:abstractNumId w:val="10"/>
  </w:num>
  <w:num w:numId="11">
    <w:abstractNumId w:val="11"/>
  </w:num>
  <w:num w:numId="12">
    <w:abstractNumId w:val="12"/>
  </w:num>
  <w:num w:numId="13">
    <w:abstractNumId w:val="24"/>
  </w:num>
  <w:num w:numId="14">
    <w:abstractNumId w:val="29"/>
  </w:num>
  <w:num w:numId="15">
    <w:abstractNumId w:val="34"/>
  </w:num>
  <w:num w:numId="16">
    <w:abstractNumId w:val="8"/>
  </w:num>
  <w:num w:numId="17">
    <w:abstractNumId w:val="19"/>
  </w:num>
  <w:num w:numId="18">
    <w:abstractNumId w:val="23"/>
  </w:num>
  <w:num w:numId="19">
    <w:abstractNumId w:val="28"/>
  </w:num>
  <w:num w:numId="20">
    <w:abstractNumId w:val="9"/>
  </w:num>
  <w:num w:numId="21">
    <w:abstractNumId w:val="22"/>
  </w:num>
  <w:num w:numId="22">
    <w:abstractNumId w:val="13"/>
  </w:num>
  <w:num w:numId="23">
    <w:abstractNumId w:val="15"/>
  </w:num>
  <w:num w:numId="24">
    <w:abstractNumId w:val="31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1"/>
  </w:num>
  <w:num w:numId="30">
    <w:abstractNumId w:val="30"/>
  </w:num>
  <w:num w:numId="31">
    <w:abstractNumId w:val="26"/>
  </w:num>
  <w:num w:numId="32">
    <w:abstractNumId w:val="4"/>
  </w:num>
  <w:num w:numId="33">
    <w:abstractNumId w:val="5"/>
  </w:num>
  <w:num w:numId="34">
    <w:abstractNumId w:val="2"/>
  </w:num>
  <w:num w:numId="35">
    <w:abstractNumId w:val="0"/>
  </w:num>
  <w:num w:numId="36">
    <w:abstractNumId w:val="27"/>
  </w:num>
  <w:num w:numId="37">
    <w:abstractNumId w:val="3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59B"/>
    <w:rsid w:val="000C4AE6"/>
    <w:rsid w:val="000C4BD3"/>
    <w:rsid w:val="000C4C1C"/>
    <w:rsid w:val="000C5431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4D50"/>
    <w:rsid w:val="00175FD9"/>
    <w:rsid w:val="001766D9"/>
    <w:rsid w:val="0018117B"/>
    <w:rsid w:val="00181980"/>
    <w:rsid w:val="00183AAF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95518"/>
    <w:rsid w:val="002A0041"/>
    <w:rsid w:val="002B6401"/>
    <w:rsid w:val="002C649A"/>
    <w:rsid w:val="002D0243"/>
    <w:rsid w:val="002D2FC0"/>
    <w:rsid w:val="002D3195"/>
    <w:rsid w:val="002D3F16"/>
    <w:rsid w:val="002F1222"/>
    <w:rsid w:val="002F33B3"/>
    <w:rsid w:val="00321DDE"/>
    <w:rsid w:val="00322263"/>
    <w:rsid w:val="003308C6"/>
    <w:rsid w:val="003342AC"/>
    <w:rsid w:val="003409B8"/>
    <w:rsid w:val="00345CFA"/>
    <w:rsid w:val="00345D88"/>
    <w:rsid w:val="00347B7E"/>
    <w:rsid w:val="003502E9"/>
    <w:rsid w:val="00351351"/>
    <w:rsid w:val="00353DE4"/>
    <w:rsid w:val="00360344"/>
    <w:rsid w:val="003613D2"/>
    <w:rsid w:val="00371851"/>
    <w:rsid w:val="00371F01"/>
    <w:rsid w:val="003721AD"/>
    <w:rsid w:val="00384BAB"/>
    <w:rsid w:val="00386254"/>
    <w:rsid w:val="00387C56"/>
    <w:rsid w:val="003A243B"/>
    <w:rsid w:val="003B27EE"/>
    <w:rsid w:val="003C1651"/>
    <w:rsid w:val="003C52C0"/>
    <w:rsid w:val="003C73F0"/>
    <w:rsid w:val="003D3CAA"/>
    <w:rsid w:val="003D74CE"/>
    <w:rsid w:val="003D7611"/>
    <w:rsid w:val="003E053E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53BA3"/>
    <w:rsid w:val="00575CB0"/>
    <w:rsid w:val="00591F23"/>
    <w:rsid w:val="005928B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36E92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540D1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7253"/>
    <w:rsid w:val="008411AE"/>
    <w:rsid w:val="00853F9D"/>
    <w:rsid w:val="0085667F"/>
    <w:rsid w:val="008617F3"/>
    <w:rsid w:val="008808CB"/>
    <w:rsid w:val="008859E6"/>
    <w:rsid w:val="008A39B7"/>
    <w:rsid w:val="008B6529"/>
    <w:rsid w:val="008C7E3E"/>
    <w:rsid w:val="008E40E2"/>
    <w:rsid w:val="008E7E35"/>
    <w:rsid w:val="008F297A"/>
    <w:rsid w:val="008F5A3A"/>
    <w:rsid w:val="00900823"/>
    <w:rsid w:val="00920A51"/>
    <w:rsid w:val="00922542"/>
    <w:rsid w:val="00924BBC"/>
    <w:rsid w:val="0093582A"/>
    <w:rsid w:val="0094670B"/>
    <w:rsid w:val="0095725E"/>
    <w:rsid w:val="009617B6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5157C"/>
    <w:rsid w:val="00C61312"/>
    <w:rsid w:val="00C64686"/>
    <w:rsid w:val="00C720C8"/>
    <w:rsid w:val="00C75CCE"/>
    <w:rsid w:val="00C76A78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E7E8B"/>
    <w:rsid w:val="00DF11BF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08FF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20841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506C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C512C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FootnoteCharacters">
    <w:name w:val="Footnote Characters"/>
    <w:rsid w:val="002F33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5CFA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175FD9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rsid w:val="00175FD9"/>
    <w:rPr>
      <w:rFonts w:ascii="Arial" w:hAnsi="Arial"/>
      <w:snapToGrid w:val="0"/>
      <w:lang w:val="sv-SE" w:eastAsia="en-US"/>
    </w:rPr>
  </w:style>
  <w:style w:type="character" w:styleId="EndnoteReference">
    <w:name w:val="endnote reference"/>
    <w:basedOn w:val="DefaultParagraphFont"/>
    <w:rsid w:val="0017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D65D-1CB7-4096-AFD1-8B38BC1E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1223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Igor Atanasov</cp:lastModifiedBy>
  <cp:revision>11</cp:revision>
  <cp:lastPrinted>2015-12-03T09:09:00Z</cp:lastPrinted>
  <dcterms:created xsi:type="dcterms:W3CDTF">2019-10-04T12:59:00Z</dcterms:created>
  <dcterms:modified xsi:type="dcterms:W3CDTF">2020-01-30T12:06:00Z</dcterms:modified>
</cp:coreProperties>
</file>