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662ED" w14:textId="77777777" w:rsidR="0047783A" w:rsidRPr="003D6B6C" w:rsidRDefault="0047783A" w:rsidP="00035D61">
      <w:pPr>
        <w:pStyle w:val="Heading1"/>
        <w:keepNext w:val="0"/>
        <w:numPr>
          <w:ilvl w:val="0"/>
          <w:numId w:val="0"/>
        </w:numPr>
        <w:jc w:val="center"/>
        <w:rPr>
          <w:rFonts w:ascii="Times New Roman" w:hAnsi="Times New Roman"/>
          <w:i/>
          <w:sz w:val="28"/>
          <w:szCs w:val="28"/>
          <w:lang w:val="en-GB"/>
        </w:rPr>
      </w:pPr>
      <w:bookmarkStart w:id="0" w:name="_Toc42488096"/>
      <w:r w:rsidRPr="003D6B6C">
        <w:rPr>
          <w:rFonts w:ascii="Times New Roman" w:hAnsi="Times New Roman"/>
          <w:i/>
          <w:sz w:val="28"/>
          <w:szCs w:val="28"/>
          <w:lang w:val="en-GB"/>
        </w:rPr>
        <w:t>SPECIAL CONDITIONS</w:t>
      </w:r>
      <w:bookmarkEnd w:id="0"/>
    </w:p>
    <w:p w14:paraId="41EDEF19" w14:textId="77777777" w:rsidR="0047783A" w:rsidRPr="003D6B6C" w:rsidRDefault="0047783A" w:rsidP="0047783A">
      <w:pPr>
        <w:spacing w:before="240"/>
        <w:ind w:left="567" w:hanging="567"/>
        <w:outlineLvl w:val="0"/>
        <w:rPr>
          <w:rFonts w:ascii="Times New Roman" w:hAnsi="Times New Roman"/>
          <w:b/>
          <w:sz w:val="28"/>
          <w:szCs w:val="28"/>
        </w:rPr>
      </w:pPr>
      <w:r w:rsidRPr="003D6B6C">
        <w:rPr>
          <w:rFonts w:ascii="Times New Roman" w:hAnsi="Times New Roman"/>
          <w:b/>
          <w:sz w:val="28"/>
          <w:szCs w:val="28"/>
        </w:rPr>
        <w:t>CONTENTS</w:t>
      </w:r>
    </w:p>
    <w:p w14:paraId="5FFA6A1F" w14:textId="77777777" w:rsidR="0047783A" w:rsidRPr="003D6B6C" w:rsidRDefault="0047783A" w:rsidP="0047783A">
      <w:pPr>
        <w:jc w:val="both"/>
        <w:rPr>
          <w:rFonts w:ascii="Times New Roman" w:hAnsi="Times New Roman"/>
          <w:sz w:val="22"/>
          <w:szCs w:val="22"/>
        </w:rPr>
      </w:pPr>
      <w:r w:rsidRPr="003D6B6C">
        <w:rPr>
          <w:rFonts w:ascii="Times New Roman" w:hAnsi="Times New Roman"/>
          <w:sz w:val="22"/>
          <w:szCs w:val="22"/>
        </w:rPr>
        <w:t xml:space="preserve">These conditions amplify and supplement, if necessary, the </w:t>
      </w:r>
      <w:r w:rsidR="00154A06">
        <w:rPr>
          <w:rFonts w:ascii="Times New Roman" w:hAnsi="Times New Roman"/>
          <w:sz w:val="22"/>
          <w:szCs w:val="22"/>
        </w:rPr>
        <w:t>g</w:t>
      </w:r>
      <w:r w:rsidRPr="003D6B6C">
        <w:rPr>
          <w:rFonts w:ascii="Times New Roman" w:hAnsi="Times New Roman"/>
          <w:sz w:val="22"/>
          <w:szCs w:val="22"/>
        </w:rPr>
        <w:t xml:space="preserve">eneral </w:t>
      </w:r>
      <w:r w:rsidR="00154A06">
        <w:rPr>
          <w:rFonts w:ascii="Times New Roman" w:hAnsi="Times New Roman"/>
          <w:sz w:val="22"/>
          <w:szCs w:val="22"/>
        </w:rPr>
        <w:t>c</w:t>
      </w:r>
      <w:r w:rsidRPr="003D6B6C">
        <w:rPr>
          <w:rFonts w:ascii="Times New Roman" w:hAnsi="Times New Roman"/>
          <w:sz w:val="22"/>
          <w:szCs w:val="22"/>
        </w:rPr>
        <w:t xml:space="preserve">onditions governing the </w:t>
      </w:r>
      <w:r w:rsidR="00154A06">
        <w:rPr>
          <w:rFonts w:ascii="Times New Roman" w:hAnsi="Times New Roman"/>
          <w:sz w:val="22"/>
          <w:szCs w:val="22"/>
        </w:rPr>
        <w:t>c</w:t>
      </w:r>
      <w:r w:rsidR="0097513D" w:rsidRPr="003D6B6C">
        <w:rPr>
          <w:rFonts w:ascii="Times New Roman" w:hAnsi="Times New Roman"/>
          <w:sz w:val="22"/>
          <w:szCs w:val="22"/>
        </w:rPr>
        <w:t>ontract</w:t>
      </w:r>
      <w:r w:rsidRPr="003D6B6C">
        <w:rPr>
          <w:rFonts w:ascii="Times New Roman" w:hAnsi="Times New Roman"/>
          <w:sz w:val="22"/>
          <w:szCs w:val="22"/>
        </w:rPr>
        <w:t xml:space="preserve">. Unless the </w:t>
      </w:r>
      <w:r w:rsidR="00154A06">
        <w:rPr>
          <w:rFonts w:ascii="Times New Roman" w:hAnsi="Times New Roman"/>
          <w:sz w:val="22"/>
          <w:szCs w:val="22"/>
        </w:rPr>
        <w:t>s</w:t>
      </w:r>
      <w:r w:rsidRPr="003D6B6C">
        <w:rPr>
          <w:rFonts w:ascii="Times New Roman" w:hAnsi="Times New Roman"/>
          <w:sz w:val="22"/>
          <w:szCs w:val="22"/>
        </w:rPr>
        <w:t xml:space="preserve">pecial </w:t>
      </w:r>
      <w:r w:rsidR="00154A06">
        <w:rPr>
          <w:rFonts w:ascii="Times New Roman" w:hAnsi="Times New Roman"/>
          <w:sz w:val="22"/>
          <w:szCs w:val="22"/>
        </w:rPr>
        <w:t>c</w:t>
      </w:r>
      <w:r w:rsidRPr="003D6B6C">
        <w:rPr>
          <w:rFonts w:ascii="Times New Roman" w:hAnsi="Times New Roman"/>
          <w:sz w:val="22"/>
          <w:szCs w:val="22"/>
        </w:rPr>
        <w:t xml:space="preserve">onditions provide otherwise, those </w:t>
      </w:r>
      <w:r w:rsidR="00154A06">
        <w:rPr>
          <w:rFonts w:ascii="Times New Roman" w:hAnsi="Times New Roman"/>
          <w:sz w:val="22"/>
          <w:szCs w:val="22"/>
        </w:rPr>
        <w:t>g</w:t>
      </w:r>
      <w:r w:rsidRPr="003D6B6C">
        <w:rPr>
          <w:rFonts w:ascii="Times New Roman" w:hAnsi="Times New Roman"/>
          <w:sz w:val="22"/>
          <w:szCs w:val="22"/>
        </w:rPr>
        <w:t xml:space="preserve">eneral </w:t>
      </w:r>
      <w:r w:rsidR="00154A06">
        <w:rPr>
          <w:rFonts w:ascii="Times New Roman" w:hAnsi="Times New Roman"/>
          <w:sz w:val="22"/>
          <w:szCs w:val="22"/>
        </w:rPr>
        <w:t>c</w:t>
      </w:r>
      <w:r w:rsidRPr="003D6B6C">
        <w:rPr>
          <w:rFonts w:ascii="Times New Roman" w:hAnsi="Times New Roman"/>
          <w:sz w:val="22"/>
          <w:szCs w:val="22"/>
        </w:rPr>
        <w:t xml:space="preserve">onditions remain fully applicable. The numbering of the </w:t>
      </w:r>
      <w:r w:rsidR="00154A06">
        <w:rPr>
          <w:rFonts w:ascii="Times New Roman" w:hAnsi="Times New Roman"/>
          <w:sz w:val="22"/>
          <w:szCs w:val="22"/>
        </w:rPr>
        <w:t>a</w:t>
      </w:r>
      <w:r w:rsidRPr="003D6B6C">
        <w:rPr>
          <w:rFonts w:ascii="Times New Roman" w:hAnsi="Times New Roman"/>
          <w:sz w:val="22"/>
          <w:szCs w:val="22"/>
        </w:rPr>
        <w:t xml:space="preserve">rticles of the </w:t>
      </w:r>
      <w:r w:rsidR="00154A06">
        <w:rPr>
          <w:rFonts w:ascii="Times New Roman" w:hAnsi="Times New Roman"/>
          <w:sz w:val="22"/>
          <w:szCs w:val="22"/>
        </w:rPr>
        <w:t>s</w:t>
      </w:r>
      <w:r w:rsidRPr="003D6B6C">
        <w:rPr>
          <w:rFonts w:ascii="Times New Roman" w:hAnsi="Times New Roman"/>
          <w:sz w:val="22"/>
          <w:szCs w:val="22"/>
        </w:rPr>
        <w:t xml:space="preserve">pecial </w:t>
      </w:r>
      <w:r w:rsidR="00154A06">
        <w:rPr>
          <w:rFonts w:ascii="Times New Roman" w:hAnsi="Times New Roman"/>
          <w:sz w:val="22"/>
          <w:szCs w:val="22"/>
        </w:rPr>
        <w:t>c</w:t>
      </w:r>
      <w:r w:rsidRPr="003D6B6C">
        <w:rPr>
          <w:rFonts w:ascii="Times New Roman" w:hAnsi="Times New Roman"/>
          <w:sz w:val="22"/>
          <w:szCs w:val="22"/>
        </w:rPr>
        <w:t xml:space="preserve">onditions is not consecutive but follows the numbering of the </w:t>
      </w:r>
      <w:r w:rsidR="00154A06">
        <w:rPr>
          <w:rFonts w:ascii="Times New Roman" w:hAnsi="Times New Roman"/>
          <w:sz w:val="22"/>
          <w:szCs w:val="22"/>
        </w:rPr>
        <w:t>a</w:t>
      </w:r>
      <w:r w:rsidRPr="003D6B6C">
        <w:rPr>
          <w:rFonts w:ascii="Times New Roman" w:hAnsi="Times New Roman"/>
          <w:sz w:val="22"/>
          <w:szCs w:val="22"/>
        </w:rPr>
        <w:t xml:space="preserve">rticles of the </w:t>
      </w:r>
      <w:r w:rsidR="00154A06">
        <w:rPr>
          <w:rFonts w:ascii="Times New Roman" w:hAnsi="Times New Roman"/>
          <w:sz w:val="22"/>
          <w:szCs w:val="22"/>
        </w:rPr>
        <w:t>g</w:t>
      </w:r>
      <w:r w:rsidRPr="003D6B6C">
        <w:rPr>
          <w:rFonts w:ascii="Times New Roman" w:hAnsi="Times New Roman"/>
          <w:sz w:val="22"/>
          <w:szCs w:val="22"/>
        </w:rPr>
        <w:t xml:space="preserve">eneral </w:t>
      </w:r>
      <w:r w:rsidR="00154A06">
        <w:rPr>
          <w:rFonts w:ascii="Times New Roman" w:hAnsi="Times New Roman"/>
          <w:sz w:val="22"/>
          <w:szCs w:val="22"/>
        </w:rPr>
        <w:t>c</w:t>
      </w:r>
      <w:r w:rsidRPr="003D6B6C">
        <w:rPr>
          <w:rFonts w:ascii="Times New Roman" w:hAnsi="Times New Roman"/>
          <w:sz w:val="22"/>
          <w:szCs w:val="22"/>
        </w:rPr>
        <w:t xml:space="preserve">onditions. In exceptional cases, and with the authorisation of the </w:t>
      </w:r>
      <w:r w:rsidR="00157C6D" w:rsidRPr="003D6B6C">
        <w:rPr>
          <w:rFonts w:ascii="Times New Roman" w:hAnsi="Times New Roman"/>
          <w:sz w:val="22"/>
          <w:szCs w:val="22"/>
        </w:rPr>
        <w:t xml:space="preserve">appropriate </w:t>
      </w:r>
      <w:r w:rsidRPr="003D6B6C">
        <w:rPr>
          <w:rFonts w:ascii="Times New Roman" w:hAnsi="Times New Roman"/>
          <w:sz w:val="22"/>
          <w:szCs w:val="22"/>
        </w:rPr>
        <w:t xml:space="preserve">Commission departments, other clauses may be </w:t>
      </w:r>
      <w:r w:rsidR="00157C6D" w:rsidRPr="003D6B6C">
        <w:rPr>
          <w:rFonts w:ascii="Times New Roman" w:hAnsi="Times New Roman"/>
          <w:sz w:val="22"/>
          <w:szCs w:val="22"/>
        </w:rPr>
        <w:t xml:space="preserve">added </w:t>
      </w:r>
      <w:r w:rsidRPr="003D6B6C">
        <w:rPr>
          <w:rFonts w:ascii="Times New Roman" w:hAnsi="Times New Roman"/>
          <w:sz w:val="22"/>
          <w:szCs w:val="22"/>
        </w:rPr>
        <w:t>to cover specific situations.</w:t>
      </w:r>
    </w:p>
    <w:p w14:paraId="1C44E8BD" w14:textId="77777777" w:rsidR="0047783A" w:rsidRPr="003D6B6C" w:rsidRDefault="0047783A" w:rsidP="00B34179">
      <w:pPr>
        <w:spacing w:before="240"/>
        <w:ind w:left="1134" w:hanging="1134"/>
        <w:jc w:val="both"/>
        <w:rPr>
          <w:rFonts w:ascii="Times New Roman" w:hAnsi="Times New Roman"/>
          <w:b/>
          <w:sz w:val="24"/>
          <w:szCs w:val="24"/>
        </w:rPr>
      </w:pPr>
      <w:bookmarkStart w:id="1" w:name="_Toc124934896"/>
      <w:r w:rsidRPr="003D6B6C">
        <w:rPr>
          <w:rFonts w:ascii="Times New Roman" w:hAnsi="Times New Roman"/>
          <w:b/>
          <w:sz w:val="24"/>
          <w:szCs w:val="24"/>
        </w:rPr>
        <w:t>Article 2</w:t>
      </w:r>
      <w:r w:rsidRPr="003D6B6C">
        <w:rPr>
          <w:rFonts w:ascii="Times New Roman" w:hAnsi="Times New Roman"/>
          <w:b/>
          <w:sz w:val="24"/>
          <w:szCs w:val="24"/>
        </w:rPr>
        <w:tab/>
        <w:t>L</w:t>
      </w:r>
      <w:bookmarkEnd w:id="1"/>
      <w:r w:rsidR="009A4F18" w:rsidRPr="003D6B6C">
        <w:rPr>
          <w:rFonts w:ascii="Times New Roman" w:hAnsi="Times New Roman"/>
          <w:b/>
          <w:sz w:val="24"/>
          <w:szCs w:val="24"/>
        </w:rPr>
        <w:t xml:space="preserve">anguage of the </w:t>
      </w:r>
      <w:r w:rsidR="00154A06">
        <w:rPr>
          <w:rFonts w:ascii="Times New Roman" w:hAnsi="Times New Roman"/>
          <w:b/>
          <w:sz w:val="24"/>
          <w:szCs w:val="24"/>
        </w:rPr>
        <w:t>c</w:t>
      </w:r>
      <w:r w:rsidR="0097513D" w:rsidRPr="003D6B6C">
        <w:rPr>
          <w:rFonts w:ascii="Times New Roman" w:hAnsi="Times New Roman"/>
          <w:b/>
          <w:sz w:val="24"/>
          <w:szCs w:val="24"/>
        </w:rPr>
        <w:t>ontract</w:t>
      </w:r>
    </w:p>
    <w:p w14:paraId="1AA14E97" w14:textId="77777777" w:rsidR="0047783A" w:rsidRPr="003D6B6C" w:rsidRDefault="0047783A" w:rsidP="004F7A0E">
      <w:pPr>
        <w:ind w:left="1134" w:hanging="567"/>
        <w:rPr>
          <w:rFonts w:ascii="Times New Roman" w:hAnsi="Times New Roman"/>
          <w:sz w:val="22"/>
          <w:szCs w:val="22"/>
        </w:rPr>
      </w:pPr>
      <w:r w:rsidRPr="003D6B6C">
        <w:rPr>
          <w:rFonts w:ascii="Times New Roman" w:hAnsi="Times New Roman"/>
          <w:sz w:val="22"/>
          <w:szCs w:val="22"/>
        </w:rPr>
        <w:t>2.</w:t>
      </w:r>
      <w:r w:rsidR="0086688D" w:rsidRPr="003D6B6C">
        <w:rPr>
          <w:rFonts w:ascii="Times New Roman" w:hAnsi="Times New Roman"/>
          <w:sz w:val="22"/>
          <w:szCs w:val="22"/>
        </w:rPr>
        <w:t>1</w:t>
      </w:r>
      <w:r w:rsidRPr="003D6B6C">
        <w:rPr>
          <w:rFonts w:ascii="Times New Roman" w:hAnsi="Times New Roman"/>
          <w:sz w:val="22"/>
          <w:szCs w:val="22"/>
        </w:rPr>
        <w:tab/>
        <w:t xml:space="preserve">The language used </w:t>
      </w:r>
      <w:r w:rsidR="0086688D" w:rsidRPr="003D6B6C">
        <w:rPr>
          <w:rFonts w:ascii="Times New Roman" w:hAnsi="Times New Roman"/>
          <w:sz w:val="22"/>
          <w:szCs w:val="22"/>
        </w:rPr>
        <w:t xml:space="preserve">shall </w:t>
      </w:r>
      <w:r w:rsidRPr="003D6B6C">
        <w:rPr>
          <w:rFonts w:ascii="Times New Roman" w:hAnsi="Times New Roman"/>
          <w:sz w:val="22"/>
          <w:szCs w:val="22"/>
        </w:rPr>
        <w:t>be English.</w:t>
      </w:r>
    </w:p>
    <w:p w14:paraId="3950A59D" w14:textId="77777777" w:rsidR="0047783A" w:rsidRPr="003D6B6C" w:rsidRDefault="0047783A" w:rsidP="00B34179">
      <w:pPr>
        <w:spacing w:before="240"/>
        <w:ind w:left="1134" w:hanging="1134"/>
        <w:jc w:val="both"/>
        <w:rPr>
          <w:rFonts w:ascii="Times New Roman" w:hAnsi="Times New Roman"/>
          <w:b/>
          <w:sz w:val="24"/>
          <w:szCs w:val="24"/>
        </w:rPr>
      </w:pPr>
      <w:bookmarkStart w:id="2" w:name="_Toc124934897"/>
      <w:r w:rsidRPr="003D6B6C">
        <w:rPr>
          <w:rFonts w:ascii="Times New Roman" w:hAnsi="Times New Roman"/>
          <w:b/>
          <w:sz w:val="24"/>
          <w:szCs w:val="24"/>
        </w:rPr>
        <w:t>Article 4</w:t>
      </w:r>
      <w:r w:rsidRPr="003D6B6C">
        <w:rPr>
          <w:rFonts w:ascii="Times New Roman" w:hAnsi="Times New Roman"/>
          <w:b/>
          <w:sz w:val="24"/>
          <w:szCs w:val="24"/>
        </w:rPr>
        <w:tab/>
        <w:t>Communications</w:t>
      </w:r>
      <w:bookmarkEnd w:id="2"/>
    </w:p>
    <w:p w14:paraId="65EE38B2" w14:textId="6D377E89" w:rsidR="005D1969" w:rsidRDefault="000724EA" w:rsidP="00532398">
      <w:pPr>
        <w:ind w:left="1134" w:hanging="567"/>
        <w:jc w:val="both"/>
        <w:rPr>
          <w:rFonts w:ascii="Times New Roman" w:hAnsi="Times New Roman"/>
          <w:sz w:val="22"/>
        </w:rPr>
      </w:pPr>
      <w:r w:rsidRPr="003D6B6C">
        <w:rPr>
          <w:rFonts w:ascii="Times New Roman" w:hAnsi="Times New Roman"/>
          <w:sz w:val="22"/>
          <w:szCs w:val="22"/>
        </w:rPr>
        <w:t>4.1</w:t>
      </w:r>
      <w:r w:rsidRPr="003D6B6C">
        <w:rPr>
          <w:rFonts w:ascii="Times New Roman" w:hAnsi="Times New Roman"/>
          <w:sz w:val="22"/>
          <w:szCs w:val="22"/>
        </w:rPr>
        <w:tab/>
      </w:r>
      <w:r w:rsidR="00532398" w:rsidRPr="00030906">
        <w:rPr>
          <w:rFonts w:ascii="Times New Roman" w:hAnsi="Times New Roman"/>
          <w:sz w:val="22"/>
        </w:rPr>
        <w:t>Any written communication relating to this Contract between the Contracting Authority</w:t>
      </w:r>
      <w:r w:rsidR="00532398">
        <w:rPr>
          <w:rFonts w:ascii="Times New Roman" w:hAnsi="Times New Roman"/>
          <w:sz w:val="22"/>
        </w:rPr>
        <w:t>, Beneficiary</w:t>
      </w:r>
      <w:r w:rsidR="00532398" w:rsidRPr="00030906">
        <w:rPr>
          <w:rFonts w:ascii="Times New Roman" w:hAnsi="Times New Roman"/>
          <w:sz w:val="22"/>
        </w:rPr>
        <w:t xml:space="preserve"> and/or the Project Manager, on the one hand, and the Contractor on the other must state the Contract title and identification number, and must be sent by post, fax, e-mail or by hand</w:t>
      </w:r>
      <w:r w:rsidR="00532398">
        <w:rPr>
          <w:rFonts w:ascii="Times New Roman" w:hAnsi="Times New Roman"/>
          <w:sz w:val="22"/>
        </w:rPr>
        <w:t xml:space="preserve">. </w:t>
      </w:r>
    </w:p>
    <w:p w14:paraId="7F01FB7F" w14:textId="06C65E92" w:rsidR="005D1969" w:rsidRDefault="005D1969" w:rsidP="005D1969">
      <w:pPr>
        <w:ind w:left="1134"/>
        <w:jc w:val="both"/>
        <w:rPr>
          <w:rFonts w:ascii="Times New Roman" w:hAnsi="Times New Roman"/>
          <w:sz w:val="22"/>
        </w:rPr>
      </w:pPr>
      <w:r>
        <w:rPr>
          <w:rFonts w:ascii="Times New Roman" w:hAnsi="Times New Roman"/>
          <w:sz w:val="22"/>
        </w:rPr>
        <w:t>F</w:t>
      </w:r>
      <w:r w:rsidR="00532398">
        <w:rPr>
          <w:rFonts w:ascii="Times New Roman" w:hAnsi="Times New Roman"/>
          <w:sz w:val="22"/>
        </w:rPr>
        <w:t>or Cont</w:t>
      </w:r>
      <w:r w:rsidR="00CB6BA1">
        <w:rPr>
          <w:rFonts w:ascii="Times New Roman" w:hAnsi="Times New Roman"/>
          <w:sz w:val="22"/>
        </w:rPr>
        <w:t>r</w:t>
      </w:r>
      <w:r w:rsidR="00532398">
        <w:rPr>
          <w:rFonts w:ascii="Times New Roman" w:hAnsi="Times New Roman"/>
          <w:sz w:val="22"/>
        </w:rPr>
        <w:t xml:space="preserve">acting Authority: </w:t>
      </w:r>
    </w:p>
    <w:tbl>
      <w:tblPr>
        <w:tblW w:w="7052"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5"/>
        <w:gridCol w:w="5387"/>
      </w:tblGrid>
      <w:tr w:rsidR="005D1969" w:rsidRPr="00C27426" w14:paraId="33BE7A76" w14:textId="77777777" w:rsidTr="00FA01E5">
        <w:tc>
          <w:tcPr>
            <w:tcW w:w="1665" w:type="dxa"/>
            <w:tcBorders>
              <w:top w:val="single" w:sz="4" w:space="0" w:color="auto"/>
              <w:bottom w:val="single" w:sz="6" w:space="0" w:color="auto"/>
              <w:right w:val="single" w:sz="6" w:space="0" w:color="auto"/>
            </w:tcBorders>
            <w:shd w:val="pct10" w:color="auto" w:fill="FFFFFF"/>
          </w:tcPr>
          <w:p w14:paraId="0A1A3A7D" w14:textId="77777777" w:rsidR="005D1969" w:rsidRPr="00C27426" w:rsidRDefault="005D1969" w:rsidP="00FA01E5">
            <w:pPr>
              <w:jc w:val="both"/>
              <w:rPr>
                <w:rFonts w:ascii="Times New Roman" w:hAnsi="Times New Roman"/>
                <w:b/>
                <w:sz w:val="22"/>
                <w:szCs w:val="22"/>
              </w:rPr>
            </w:pPr>
            <w:r w:rsidRPr="00C27426">
              <w:rPr>
                <w:rFonts w:ascii="Times New Roman" w:hAnsi="Times New Roman"/>
                <w:b/>
                <w:sz w:val="22"/>
                <w:szCs w:val="22"/>
              </w:rPr>
              <w:t>Name:</w:t>
            </w:r>
          </w:p>
        </w:tc>
        <w:tc>
          <w:tcPr>
            <w:tcW w:w="5387" w:type="dxa"/>
            <w:tcBorders>
              <w:top w:val="single" w:sz="4" w:space="0" w:color="auto"/>
              <w:left w:val="single" w:sz="6" w:space="0" w:color="auto"/>
              <w:bottom w:val="single" w:sz="6" w:space="0" w:color="auto"/>
              <w:right w:val="single" w:sz="6" w:space="0" w:color="auto"/>
            </w:tcBorders>
            <w:vAlign w:val="center"/>
          </w:tcPr>
          <w:p w14:paraId="2B4290EC" w14:textId="018E9774" w:rsidR="005D1969" w:rsidRPr="00C27426" w:rsidRDefault="005D1969" w:rsidP="00FA01E5">
            <w:pPr>
              <w:rPr>
                <w:rFonts w:ascii="Times New Roman" w:hAnsi="Times New Roman"/>
                <w:sz w:val="22"/>
                <w:szCs w:val="22"/>
              </w:rPr>
            </w:pPr>
            <w:r>
              <w:rPr>
                <w:rFonts w:ascii="Times New Roman" w:hAnsi="Times New Roman"/>
                <w:sz w:val="22"/>
                <w:szCs w:val="22"/>
                <w:lang w:val="en-US"/>
              </w:rPr>
              <w:t xml:space="preserve">Ministry of Environment and </w:t>
            </w:r>
            <w:r w:rsidR="00CB6BA1">
              <w:rPr>
                <w:rFonts w:ascii="Times New Roman" w:hAnsi="Times New Roman"/>
                <w:sz w:val="22"/>
                <w:szCs w:val="22"/>
                <w:lang w:val="en-US"/>
              </w:rPr>
              <w:t>Physical</w:t>
            </w:r>
            <w:r>
              <w:rPr>
                <w:rFonts w:ascii="Times New Roman" w:hAnsi="Times New Roman"/>
                <w:sz w:val="22"/>
                <w:szCs w:val="22"/>
                <w:lang w:val="en-US"/>
              </w:rPr>
              <w:t xml:space="preserve"> Planning</w:t>
            </w:r>
          </w:p>
        </w:tc>
      </w:tr>
      <w:tr w:rsidR="005D1969" w:rsidRPr="00C27426" w14:paraId="13CEE5FD" w14:textId="77777777" w:rsidTr="00FA01E5">
        <w:tc>
          <w:tcPr>
            <w:tcW w:w="1665" w:type="dxa"/>
            <w:tcBorders>
              <w:top w:val="single" w:sz="6" w:space="0" w:color="auto"/>
              <w:bottom w:val="single" w:sz="6" w:space="0" w:color="auto"/>
              <w:right w:val="single" w:sz="6" w:space="0" w:color="auto"/>
            </w:tcBorders>
            <w:shd w:val="pct10" w:color="auto" w:fill="FFFFFF"/>
          </w:tcPr>
          <w:p w14:paraId="2D6CDAB5" w14:textId="77777777" w:rsidR="005D1969" w:rsidRPr="00C27426" w:rsidRDefault="005D1969" w:rsidP="00FA01E5">
            <w:pPr>
              <w:jc w:val="both"/>
              <w:rPr>
                <w:rFonts w:ascii="Times New Roman" w:hAnsi="Times New Roman"/>
                <w:b/>
                <w:sz w:val="22"/>
                <w:szCs w:val="22"/>
              </w:rPr>
            </w:pPr>
            <w:r w:rsidRPr="00C27426">
              <w:rPr>
                <w:rFonts w:ascii="Times New Roman" w:hAnsi="Times New Roman"/>
                <w:b/>
                <w:sz w:val="22"/>
                <w:szCs w:val="22"/>
              </w:rPr>
              <w:t>Address:</w:t>
            </w:r>
          </w:p>
        </w:tc>
        <w:tc>
          <w:tcPr>
            <w:tcW w:w="5387" w:type="dxa"/>
            <w:tcBorders>
              <w:top w:val="single" w:sz="6" w:space="0" w:color="auto"/>
              <w:left w:val="single" w:sz="6" w:space="0" w:color="auto"/>
              <w:bottom w:val="single" w:sz="6" w:space="0" w:color="auto"/>
              <w:right w:val="single" w:sz="6" w:space="0" w:color="auto"/>
            </w:tcBorders>
            <w:vAlign w:val="center"/>
          </w:tcPr>
          <w:p w14:paraId="440F236D" w14:textId="77777777" w:rsidR="005D1969" w:rsidRPr="00E21DC0" w:rsidRDefault="005D1969" w:rsidP="00FA01E5">
            <w:pPr>
              <w:spacing w:before="0" w:after="0"/>
              <w:rPr>
                <w:rFonts w:ascii="Times New Roman" w:hAnsi="Times New Roman"/>
                <w:sz w:val="22"/>
                <w:szCs w:val="22"/>
                <w:lang w:val="nb-NO"/>
              </w:rPr>
            </w:pPr>
            <w:r w:rsidRPr="00532398">
              <w:rPr>
                <w:rFonts w:ascii="Times New Roman" w:hAnsi="Times New Roman"/>
                <w:sz w:val="22"/>
                <w:szCs w:val="22"/>
              </w:rPr>
              <w:t>Square Presveta Bogorodica no. 3</w:t>
            </w:r>
            <w:r>
              <w:rPr>
                <w:rFonts w:ascii="Times New Roman" w:hAnsi="Times New Roman"/>
                <w:sz w:val="22"/>
                <w:szCs w:val="22"/>
              </w:rPr>
              <w:t>,</w:t>
            </w:r>
            <w:r w:rsidRPr="00532398">
              <w:rPr>
                <w:rFonts w:ascii="Times New Roman" w:hAnsi="Times New Roman"/>
                <w:sz w:val="22"/>
                <w:szCs w:val="22"/>
              </w:rPr>
              <w:t>1000 Skopje, Republic of North Macedonia</w:t>
            </w:r>
          </w:p>
        </w:tc>
      </w:tr>
      <w:tr w:rsidR="005D1969" w:rsidRPr="00C27426" w14:paraId="77C55A91" w14:textId="77777777" w:rsidTr="00FA01E5">
        <w:tc>
          <w:tcPr>
            <w:tcW w:w="1665" w:type="dxa"/>
            <w:tcBorders>
              <w:top w:val="single" w:sz="6" w:space="0" w:color="auto"/>
              <w:bottom w:val="single" w:sz="6" w:space="0" w:color="auto"/>
              <w:right w:val="single" w:sz="6" w:space="0" w:color="auto"/>
            </w:tcBorders>
            <w:shd w:val="pct10" w:color="auto" w:fill="FFFFFF"/>
          </w:tcPr>
          <w:p w14:paraId="0359E924" w14:textId="77777777" w:rsidR="005D1969" w:rsidRPr="00C27426" w:rsidRDefault="005D1969" w:rsidP="00FA01E5">
            <w:pPr>
              <w:jc w:val="both"/>
              <w:rPr>
                <w:rFonts w:ascii="Times New Roman" w:hAnsi="Times New Roman"/>
                <w:b/>
                <w:sz w:val="22"/>
                <w:szCs w:val="22"/>
              </w:rPr>
            </w:pPr>
            <w:r w:rsidRPr="00C27426">
              <w:rPr>
                <w:rFonts w:ascii="Times New Roman" w:hAnsi="Times New Roman"/>
                <w:b/>
                <w:sz w:val="22"/>
                <w:szCs w:val="22"/>
              </w:rPr>
              <w:t>Telephone:</w:t>
            </w:r>
          </w:p>
        </w:tc>
        <w:tc>
          <w:tcPr>
            <w:tcW w:w="5387" w:type="dxa"/>
            <w:tcBorders>
              <w:top w:val="single" w:sz="6" w:space="0" w:color="auto"/>
              <w:left w:val="single" w:sz="6" w:space="0" w:color="auto"/>
              <w:bottom w:val="single" w:sz="6" w:space="0" w:color="auto"/>
              <w:right w:val="single" w:sz="6" w:space="0" w:color="auto"/>
            </w:tcBorders>
            <w:vAlign w:val="center"/>
          </w:tcPr>
          <w:p w14:paraId="2B51AF78" w14:textId="77777777" w:rsidR="005D1969" w:rsidRPr="00C27426" w:rsidRDefault="005D1969" w:rsidP="00FA01E5">
            <w:pPr>
              <w:tabs>
                <w:tab w:val="left" w:pos="34"/>
              </w:tabs>
              <w:rPr>
                <w:rFonts w:ascii="Times New Roman" w:hAnsi="Times New Roman"/>
                <w:sz w:val="22"/>
                <w:szCs w:val="22"/>
              </w:rPr>
            </w:pPr>
          </w:p>
        </w:tc>
      </w:tr>
      <w:tr w:rsidR="005D1969" w:rsidRPr="00C27426" w14:paraId="4BF8E820" w14:textId="77777777" w:rsidTr="00FA01E5">
        <w:tc>
          <w:tcPr>
            <w:tcW w:w="1665" w:type="dxa"/>
            <w:tcBorders>
              <w:top w:val="single" w:sz="6" w:space="0" w:color="auto"/>
              <w:bottom w:val="single" w:sz="6" w:space="0" w:color="auto"/>
              <w:right w:val="single" w:sz="6" w:space="0" w:color="auto"/>
            </w:tcBorders>
            <w:shd w:val="pct10" w:color="auto" w:fill="FFFFFF"/>
          </w:tcPr>
          <w:p w14:paraId="693073EB" w14:textId="77777777" w:rsidR="005D1969" w:rsidRPr="00C27426" w:rsidRDefault="005D1969" w:rsidP="00FA01E5">
            <w:pPr>
              <w:jc w:val="both"/>
              <w:rPr>
                <w:rFonts w:ascii="Times New Roman" w:hAnsi="Times New Roman"/>
                <w:b/>
                <w:sz w:val="22"/>
                <w:szCs w:val="22"/>
              </w:rPr>
            </w:pPr>
            <w:r w:rsidRPr="00C27426">
              <w:rPr>
                <w:rFonts w:ascii="Times New Roman" w:hAnsi="Times New Roman"/>
                <w:b/>
                <w:sz w:val="22"/>
                <w:szCs w:val="22"/>
              </w:rPr>
              <w:t>Fax:</w:t>
            </w:r>
          </w:p>
        </w:tc>
        <w:tc>
          <w:tcPr>
            <w:tcW w:w="5387" w:type="dxa"/>
            <w:tcBorders>
              <w:top w:val="single" w:sz="6" w:space="0" w:color="auto"/>
              <w:left w:val="single" w:sz="6" w:space="0" w:color="auto"/>
              <w:bottom w:val="single" w:sz="6" w:space="0" w:color="auto"/>
              <w:right w:val="single" w:sz="6" w:space="0" w:color="auto"/>
            </w:tcBorders>
            <w:vAlign w:val="center"/>
          </w:tcPr>
          <w:p w14:paraId="02DBF955" w14:textId="0B0F7425" w:rsidR="005D1969" w:rsidRPr="00E21DC0" w:rsidRDefault="004E0052" w:rsidP="00FA01E5">
            <w:pPr>
              <w:spacing w:before="0" w:after="0"/>
              <w:rPr>
                <w:rFonts w:ascii="Times New Roman" w:hAnsi="Times New Roman"/>
                <w:sz w:val="22"/>
                <w:szCs w:val="22"/>
                <w:lang w:val="en-US"/>
              </w:rPr>
            </w:pPr>
            <w:r>
              <w:rPr>
                <w:rFonts w:ascii="Times New Roman" w:hAnsi="Times New Roman"/>
                <w:sz w:val="22"/>
                <w:szCs w:val="22"/>
                <w:lang w:val="en-US"/>
              </w:rPr>
              <w:t>+38902 3220 165</w:t>
            </w:r>
          </w:p>
        </w:tc>
      </w:tr>
      <w:tr w:rsidR="005D1969" w:rsidRPr="00C27426" w14:paraId="10B3DE2E" w14:textId="77777777" w:rsidTr="00FA01E5">
        <w:tc>
          <w:tcPr>
            <w:tcW w:w="1665" w:type="dxa"/>
            <w:tcBorders>
              <w:top w:val="single" w:sz="6" w:space="0" w:color="auto"/>
              <w:bottom w:val="single" w:sz="4" w:space="0" w:color="auto"/>
              <w:right w:val="single" w:sz="6" w:space="0" w:color="auto"/>
            </w:tcBorders>
            <w:shd w:val="pct10" w:color="auto" w:fill="FFFFFF"/>
          </w:tcPr>
          <w:p w14:paraId="26EE00F3" w14:textId="77777777" w:rsidR="005D1969" w:rsidRPr="00C27426" w:rsidRDefault="005D1969" w:rsidP="00FA01E5">
            <w:pPr>
              <w:jc w:val="both"/>
              <w:rPr>
                <w:rFonts w:ascii="Times New Roman" w:hAnsi="Times New Roman"/>
                <w:b/>
                <w:sz w:val="22"/>
                <w:szCs w:val="22"/>
              </w:rPr>
            </w:pPr>
            <w:r w:rsidRPr="00C27426">
              <w:rPr>
                <w:rFonts w:ascii="Times New Roman" w:hAnsi="Times New Roman"/>
                <w:b/>
                <w:sz w:val="22"/>
                <w:szCs w:val="22"/>
              </w:rPr>
              <w:t>e-mail:</w:t>
            </w:r>
          </w:p>
        </w:tc>
        <w:tc>
          <w:tcPr>
            <w:tcW w:w="5387" w:type="dxa"/>
            <w:tcBorders>
              <w:top w:val="single" w:sz="6" w:space="0" w:color="auto"/>
              <w:left w:val="single" w:sz="6" w:space="0" w:color="auto"/>
              <w:bottom w:val="single" w:sz="4" w:space="0" w:color="auto"/>
              <w:right w:val="single" w:sz="6" w:space="0" w:color="auto"/>
            </w:tcBorders>
            <w:vAlign w:val="center"/>
          </w:tcPr>
          <w:p w14:paraId="13A73549" w14:textId="77777777" w:rsidR="005D1969" w:rsidRPr="00C27426" w:rsidRDefault="005D1969" w:rsidP="00FA01E5">
            <w:pPr>
              <w:tabs>
                <w:tab w:val="left" w:pos="34"/>
              </w:tabs>
              <w:rPr>
                <w:rFonts w:ascii="Times New Roman" w:hAnsi="Times New Roman"/>
                <w:sz w:val="22"/>
                <w:szCs w:val="22"/>
              </w:rPr>
            </w:pPr>
            <w:r w:rsidRPr="00A65F76">
              <w:rPr>
                <w:rFonts w:ascii="Times New Roman" w:hAnsi="Times New Roman"/>
                <w:sz w:val="22"/>
              </w:rPr>
              <w:t>s.gjorgjeva@moepp.gov.mk</w:t>
            </w:r>
          </w:p>
        </w:tc>
      </w:tr>
    </w:tbl>
    <w:p w14:paraId="6864FECE" w14:textId="069044AE" w:rsidR="004E0052" w:rsidRPr="00C27426" w:rsidRDefault="004E0052" w:rsidP="004E0052">
      <w:pPr>
        <w:ind w:left="1134"/>
        <w:jc w:val="both"/>
        <w:rPr>
          <w:rFonts w:ascii="Times New Roman" w:hAnsi="Times New Roman"/>
          <w:sz w:val="22"/>
          <w:szCs w:val="22"/>
        </w:rPr>
      </w:pPr>
      <w:r w:rsidRPr="00C27426">
        <w:rPr>
          <w:rFonts w:ascii="Times New Roman" w:hAnsi="Times New Roman"/>
          <w:sz w:val="22"/>
          <w:szCs w:val="22"/>
          <w:u w:val="single"/>
        </w:rPr>
        <w:t>For the Contractor</w:t>
      </w:r>
      <w:r w:rsidRPr="00C27426">
        <w:rPr>
          <w:rFonts w:ascii="Times New Roman" w:hAnsi="Times New Roman"/>
          <w:sz w:val="22"/>
          <w:szCs w:val="22"/>
        </w:rPr>
        <w:t>:</w:t>
      </w:r>
    </w:p>
    <w:tbl>
      <w:tblPr>
        <w:tblW w:w="7052"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5"/>
        <w:gridCol w:w="5387"/>
      </w:tblGrid>
      <w:tr w:rsidR="004E0052" w:rsidRPr="00C27426" w14:paraId="40E77CC8" w14:textId="77777777" w:rsidTr="00E64CDD">
        <w:trPr>
          <w:trHeight w:val="315"/>
        </w:trPr>
        <w:tc>
          <w:tcPr>
            <w:tcW w:w="1665" w:type="dxa"/>
            <w:shd w:val="pct10" w:color="auto" w:fill="FFFFFF"/>
          </w:tcPr>
          <w:p w14:paraId="0590195A" w14:textId="77777777" w:rsidR="004E0052" w:rsidRPr="00C27426" w:rsidRDefault="004E0052" w:rsidP="00E64CDD">
            <w:pPr>
              <w:jc w:val="both"/>
              <w:rPr>
                <w:rFonts w:ascii="Times New Roman" w:hAnsi="Times New Roman"/>
                <w:b/>
                <w:sz w:val="22"/>
                <w:szCs w:val="22"/>
              </w:rPr>
            </w:pPr>
            <w:r w:rsidRPr="00C27426">
              <w:rPr>
                <w:rFonts w:ascii="Times New Roman" w:hAnsi="Times New Roman"/>
                <w:b/>
                <w:sz w:val="22"/>
                <w:szCs w:val="22"/>
              </w:rPr>
              <w:t>Name:</w:t>
            </w:r>
          </w:p>
        </w:tc>
        <w:tc>
          <w:tcPr>
            <w:tcW w:w="5387" w:type="dxa"/>
          </w:tcPr>
          <w:p w14:paraId="0429567C" w14:textId="77777777" w:rsidR="004E0052" w:rsidRPr="00C27426" w:rsidRDefault="004E0052" w:rsidP="00E64CDD">
            <w:pPr>
              <w:jc w:val="both"/>
              <w:rPr>
                <w:rFonts w:ascii="Times New Roman" w:hAnsi="Times New Roman"/>
                <w:sz w:val="22"/>
                <w:szCs w:val="22"/>
              </w:rPr>
            </w:pPr>
          </w:p>
        </w:tc>
      </w:tr>
      <w:tr w:rsidR="004E0052" w:rsidRPr="00C27426" w14:paraId="777CD1DB" w14:textId="77777777" w:rsidTr="00E64CDD">
        <w:tc>
          <w:tcPr>
            <w:tcW w:w="1665" w:type="dxa"/>
            <w:shd w:val="pct10" w:color="auto" w:fill="FFFFFF"/>
          </w:tcPr>
          <w:p w14:paraId="0BAAE52B" w14:textId="77777777" w:rsidR="004E0052" w:rsidRPr="00C27426" w:rsidRDefault="004E0052" w:rsidP="00E64CDD">
            <w:pPr>
              <w:pStyle w:val="IndexHeading"/>
              <w:spacing w:after="0"/>
              <w:rPr>
                <w:rFonts w:ascii="Times New Roman" w:hAnsi="Times New Roman"/>
                <w:sz w:val="22"/>
                <w:szCs w:val="22"/>
              </w:rPr>
            </w:pPr>
            <w:r w:rsidRPr="00C27426">
              <w:rPr>
                <w:rFonts w:ascii="Times New Roman" w:hAnsi="Times New Roman"/>
                <w:sz w:val="22"/>
                <w:szCs w:val="22"/>
              </w:rPr>
              <w:t>Address:</w:t>
            </w:r>
          </w:p>
        </w:tc>
        <w:tc>
          <w:tcPr>
            <w:tcW w:w="5387" w:type="dxa"/>
          </w:tcPr>
          <w:p w14:paraId="3626544D" w14:textId="77777777" w:rsidR="004E0052" w:rsidRPr="00C27426" w:rsidRDefault="004E0052" w:rsidP="00E64CDD">
            <w:pPr>
              <w:jc w:val="both"/>
              <w:rPr>
                <w:rFonts w:ascii="Times New Roman" w:hAnsi="Times New Roman"/>
                <w:sz w:val="22"/>
                <w:szCs w:val="22"/>
              </w:rPr>
            </w:pPr>
          </w:p>
        </w:tc>
      </w:tr>
      <w:tr w:rsidR="004E0052" w:rsidRPr="00C27426" w14:paraId="4AD3571F" w14:textId="77777777" w:rsidTr="00E64CDD">
        <w:tc>
          <w:tcPr>
            <w:tcW w:w="1665" w:type="dxa"/>
            <w:shd w:val="pct10" w:color="auto" w:fill="FFFFFF"/>
          </w:tcPr>
          <w:p w14:paraId="0A8BAE21" w14:textId="77777777" w:rsidR="004E0052" w:rsidRPr="00C27426" w:rsidRDefault="004E0052" w:rsidP="00E64CDD">
            <w:pPr>
              <w:jc w:val="both"/>
              <w:rPr>
                <w:rFonts w:ascii="Times New Roman" w:hAnsi="Times New Roman"/>
                <w:b/>
                <w:sz w:val="22"/>
                <w:szCs w:val="22"/>
              </w:rPr>
            </w:pPr>
            <w:r w:rsidRPr="00C27426">
              <w:rPr>
                <w:rFonts w:ascii="Times New Roman" w:hAnsi="Times New Roman"/>
                <w:b/>
                <w:sz w:val="22"/>
                <w:szCs w:val="22"/>
              </w:rPr>
              <w:t>Telephone:</w:t>
            </w:r>
          </w:p>
        </w:tc>
        <w:tc>
          <w:tcPr>
            <w:tcW w:w="5387" w:type="dxa"/>
          </w:tcPr>
          <w:p w14:paraId="2BA3ED4C" w14:textId="77777777" w:rsidR="004E0052" w:rsidRPr="00C27426" w:rsidRDefault="004E0052" w:rsidP="00E64CDD">
            <w:pPr>
              <w:jc w:val="both"/>
              <w:rPr>
                <w:rFonts w:ascii="Times New Roman" w:hAnsi="Times New Roman"/>
                <w:sz w:val="22"/>
                <w:szCs w:val="22"/>
              </w:rPr>
            </w:pPr>
          </w:p>
        </w:tc>
      </w:tr>
      <w:tr w:rsidR="004E0052" w:rsidRPr="00C27426" w14:paraId="2A4F95AC" w14:textId="77777777" w:rsidTr="00E64CDD">
        <w:tc>
          <w:tcPr>
            <w:tcW w:w="1665" w:type="dxa"/>
            <w:shd w:val="pct10" w:color="auto" w:fill="FFFFFF"/>
          </w:tcPr>
          <w:p w14:paraId="28C22A49" w14:textId="77777777" w:rsidR="004E0052" w:rsidRPr="00C27426" w:rsidRDefault="004E0052" w:rsidP="00E64CDD">
            <w:pPr>
              <w:jc w:val="both"/>
              <w:rPr>
                <w:rFonts w:ascii="Times New Roman" w:hAnsi="Times New Roman"/>
                <w:b/>
                <w:sz w:val="22"/>
                <w:szCs w:val="22"/>
              </w:rPr>
            </w:pPr>
            <w:r w:rsidRPr="00C27426">
              <w:rPr>
                <w:rFonts w:ascii="Times New Roman" w:hAnsi="Times New Roman"/>
                <w:b/>
                <w:sz w:val="22"/>
                <w:szCs w:val="22"/>
              </w:rPr>
              <w:t>Fax:</w:t>
            </w:r>
          </w:p>
        </w:tc>
        <w:tc>
          <w:tcPr>
            <w:tcW w:w="5387" w:type="dxa"/>
          </w:tcPr>
          <w:p w14:paraId="3BDD0D2F" w14:textId="77777777" w:rsidR="004E0052" w:rsidRPr="00C27426" w:rsidRDefault="004E0052" w:rsidP="00E64CDD">
            <w:pPr>
              <w:jc w:val="both"/>
              <w:rPr>
                <w:rFonts w:ascii="Times New Roman" w:hAnsi="Times New Roman"/>
                <w:sz w:val="22"/>
                <w:szCs w:val="22"/>
              </w:rPr>
            </w:pPr>
          </w:p>
        </w:tc>
      </w:tr>
      <w:tr w:rsidR="004E0052" w:rsidRPr="00C27426" w14:paraId="122DAADF" w14:textId="77777777" w:rsidTr="00E64CDD">
        <w:tc>
          <w:tcPr>
            <w:tcW w:w="1665" w:type="dxa"/>
            <w:shd w:val="pct10" w:color="auto" w:fill="FFFFFF"/>
          </w:tcPr>
          <w:p w14:paraId="4A2DB9E8" w14:textId="77777777" w:rsidR="004E0052" w:rsidRPr="00C27426" w:rsidRDefault="004E0052" w:rsidP="00E64CDD">
            <w:pPr>
              <w:jc w:val="both"/>
              <w:rPr>
                <w:rFonts w:ascii="Times New Roman" w:hAnsi="Times New Roman"/>
                <w:b/>
                <w:sz w:val="22"/>
                <w:szCs w:val="22"/>
              </w:rPr>
            </w:pPr>
            <w:r w:rsidRPr="00C27426">
              <w:rPr>
                <w:rFonts w:ascii="Times New Roman" w:hAnsi="Times New Roman"/>
                <w:b/>
                <w:sz w:val="22"/>
                <w:szCs w:val="22"/>
              </w:rPr>
              <w:t>e-mail:</w:t>
            </w:r>
          </w:p>
        </w:tc>
        <w:tc>
          <w:tcPr>
            <w:tcW w:w="5387" w:type="dxa"/>
          </w:tcPr>
          <w:p w14:paraId="5741CBA0" w14:textId="77777777" w:rsidR="004E0052" w:rsidRPr="00C27426" w:rsidRDefault="004E0052" w:rsidP="00E64CDD">
            <w:pPr>
              <w:jc w:val="both"/>
              <w:rPr>
                <w:rFonts w:ascii="Times New Roman" w:hAnsi="Times New Roman"/>
                <w:sz w:val="22"/>
                <w:szCs w:val="22"/>
              </w:rPr>
            </w:pPr>
          </w:p>
        </w:tc>
      </w:tr>
    </w:tbl>
    <w:p w14:paraId="6B604C88" w14:textId="77777777" w:rsidR="004E0052" w:rsidRDefault="004E0052" w:rsidP="005D1969">
      <w:pPr>
        <w:ind w:left="1134"/>
        <w:jc w:val="both"/>
        <w:rPr>
          <w:rFonts w:ascii="Times New Roman" w:hAnsi="Times New Roman"/>
          <w:sz w:val="22"/>
        </w:rPr>
      </w:pPr>
    </w:p>
    <w:p w14:paraId="3AA46A21" w14:textId="77777777" w:rsidR="006D3DE4" w:rsidRPr="006D3DE4" w:rsidRDefault="006D3DE4" w:rsidP="00C73F87">
      <w:pPr>
        <w:ind w:left="1134" w:hanging="567"/>
        <w:jc w:val="both"/>
        <w:rPr>
          <w:rFonts w:ascii="Times New Roman" w:hAnsi="Times New Roman"/>
          <w:sz w:val="22"/>
          <w:szCs w:val="22"/>
        </w:rPr>
      </w:pPr>
      <w:r>
        <w:rPr>
          <w:rFonts w:ascii="Times New Roman" w:hAnsi="Times New Roman"/>
          <w:sz w:val="22"/>
          <w:szCs w:val="22"/>
        </w:rPr>
        <w:t>4</w:t>
      </w:r>
      <w:r w:rsidRPr="006D3DE4">
        <w:rPr>
          <w:rFonts w:ascii="Times New Roman" w:hAnsi="Times New Roman"/>
          <w:sz w:val="22"/>
          <w:szCs w:val="22"/>
        </w:rPr>
        <w:t>.2</w:t>
      </w:r>
      <w:r w:rsidRPr="006D3DE4">
        <w:rPr>
          <w:rFonts w:ascii="Times New Roman" w:hAnsi="Times New Roman"/>
          <w:sz w:val="22"/>
          <w:szCs w:val="22"/>
        </w:rPr>
        <w:tab/>
        <w:t>An electronic system will be used by the contracting authority and the contractor for all stages of implementation including, inter alia, management of the contract (amendments and administrative orders), reporting (including reporting on results) and payments.  The contractor will be required to register in and use the appropriate electronic exchange system to allow for the e-management of the contract.</w:t>
      </w:r>
    </w:p>
    <w:p w14:paraId="50884D4D" w14:textId="77777777" w:rsidR="006D3DE4" w:rsidRPr="003D6B6C" w:rsidRDefault="006D3DE4" w:rsidP="00C73F87">
      <w:pPr>
        <w:ind w:left="1134" w:hanging="567"/>
        <w:jc w:val="both"/>
        <w:rPr>
          <w:rFonts w:ascii="Times New Roman" w:hAnsi="Times New Roman"/>
          <w:sz w:val="22"/>
          <w:szCs w:val="22"/>
        </w:rPr>
      </w:pPr>
      <w:r w:rsidRPr="006D3DE4">
        <w:rPr>
          <w:rFonts w:ascii="Times New Roman" w:hAnsi="Times New Roman"/>
          <w:sz w:val="22"/>
          <w:szCs w:val="22"/>
        </w:rPr>
        <w:tab/>
        <w:t>The electronic management of the contract through the aforementioned system may commence on the date on which implementation of the contract st</w:t>
      </w:r>
      <w:r>
        <w:rPr>
          <w:rFonts w:ascii="Times New Roman" w:hAnsi="Times New Roman"/>
          <w:sz w:val="22"/>
          <w:szCs w:val="22"/>
        </w:rPr>
        <w:t>arts, as described in Article 18</w:t>
      </w:r>
      <w:r w:rsidRPr="006D3DE4">
        <w:rPr>
          <w:rFonts w:ascii="Times New Roman" w:hAnsi="Times New Roman"/>
          <w:sz w:val="22"/>
          <w:szCs w:val="22"/>
        </w:rPr>
        <w:t xml:space="preserve"> below, or at a later date. </w:t>
      </w:r>
      <w:r w:rsidR="004C270A" w:rsidRPr="004C270A">
        <w:rPr>
          <w:rFonts w:ascii="Times New Roman" w:hAnsi="Times New Roman"/>
          <w:sz w:val="22"/>
          <w:szCs w:val="22"/>
        </w:rPr>
        <w:t xml:space="preserve">In the latter case, the contracting </w:t>
      </w:r>
      <w:r w:rsidR="004C270A" w:rsidRPr="004C270A">
        <w:rPr>
          <w:rFonts w:ascii="Times New Roman" w:hAnsi="Times New Roman"/>
          <w:sz w:val="22"/>
          <w:szCs w:val="22"/>
        </w:rPr>
        <w:lastRenderedPageBreak/>
        <w:t>authority will inform th</w:t>
      </w:r>
      <w:r w:rsidR="004C270A">
        <w:rPr>
          <w:rFonts w:ascii="Times New Roman" w:hAnsi="Times New Roman"/>
          <w:sz w:val="22"/>
          <w:szCs w:val="22"/>
        </w:rPr>
        <w:t>e contractor</w:t>
      </w:r>
      <w:r w:rsidR="004C270A" w:rsidRPr="004C270A">
        <w:rPr>
          <w:rFonts w:ascii="Times New Roman" w:hAnsi="Times New Roman"/>
          <w:sz w:val="22"/>
          <w:szCs w:val="22"/>
        </w:rPr>
        <w:t xml:space="preserve"> in writing that he will be required to use the electronic system for all communications within a maximum period of 3 months.</w:t>
      </w:r>
    </w:p>
    <w:p w14:paraId="644A2F52" w14:textId="77777777" w:rsidR="0047783A" w:rsidRPr="003D6B6C" w:rsidRDefault="0047783A" w:rsidP="00B34179">
      <w:pPr>
        <w:spacing w:before="240"/>
        <w:ind w:left="1134" w:hanging="1134"/>
        <w:jc w:val="both"/>
        <w:rPr>
          <w:rFonts w:ascii="Times New Roman" w:hAnsi="Times New Roman"/>
          <w:b/>
          <w:sz w:val="24"/>
          <w:szCs w:val="24"/>
        </w:rPr>
      </w:pPr>
      <w:bookmarkStart w:id="3" w:name="_Toc124934898"/>
      <w:r w:rsidRPr="003D6B6C">
        <w:rPr>
          <w:rFonts w:ascii="Times New Roman" w:hAnsi="Times New Roman"/>
          <w:b/>
          <w:sz w:val="24"/>
          <w:szCs w:val="24"/>
        </w:rPr>
        <w:t>Article 7</w:t>
      </w:r>
      <w:r w:rsidRPr="003D6B6C">
        <w:rPr>
          <w:rFonts w:ascii="Times New Roman" w:hAnsi="Times New Roman"/>
          <w:b/>
          <w:sz w:val="24"/>
          <w:szCs w:val="24"/>
        </w:rPr>
        <w:tab/>
        <w:t>Supply of documents</w:t>
      </w:r>
      <w:bookmarkEnd w:id="3"/>
    </w:p>
    <w:p w14:paraId="0D064132" w14:textId="58665BF0" w:rsidR="00532398" w:rsidRPr="00A65F76" w:rsidRDefault="00532398" w:rsidP="00A65F76">
      <w:pPr>
        <w:jc w:val="both"/>
        <w:rPr>
          <w:rFonts w:ascii="Times New Roman" w:hAnsi="Times New Roman"/>
          <w:sz w:val="22"/>
          <w:szCs w:val="22"/>
        </w:rPr>
      </w:pPr>
      <w:r w:rsidRPr="00A65F76">
        <w:rPr>
          <w:rFonts w:ascii="Times New Roman" w:hAnsi="Times New Roman"/>
          <w:sz w:val="22"/>
          <w:szCs w:val="22"/>
        </w:rPr>
        <w:t xml:space="preserve">The official approval of all required documents (except of the </w:t>
      </w:r>
      <w:bookmarkStart w:id="4" w:name="OLE_LINK91"/>
      <w:bookmarkStart w:id="5" w:name="OLE_LINK92"/>
      <w:r w:rsidRPr="00A65F76">
        <w:rPr>
          <w:rFonts w:ascii="Times New Roman" w:hAnsi="Times New Roman"/>
          <w:sz w:val="22"/>
          <w:szCs w:val="22"/>
        </w:rPr>
        <w:t>detailed Training Plan</w:t>
      </w:r>
      <w:bookmarkEnd w:id="4"/>
      <w:bookmarkEnd w:id="5"/>
      <w:r w:rsidRPr="00A65F76">
        <w:rPr>
          <w:rFonts w:ascii="Times New Roman" w:hAnsi="Times New Roman"/>
          <w:sz w:val="22"/>
          <w:szCs w:val="22"/>
        </w:rPr>
        <w:t xml:space="preserve">) described in the Technical Specifications and in the Article 14 of the Special Conditions, and provided by the Contractor, is made by the Contracting Authority during the Provisional Acceptance. </w:t>
      </w:r>
    </w:p>
    <w:p w14:paraId="43FFDDED" w14:textId="53798F9B" w:rsidR="00532398" w:rsidRPr="00FE591C" w:rsidRDefault="00532398" w:rsidP="00A65F76">
      <w:pPr>
        <w:jc w:val="both"/>
        <w:rPr>
          <w:rFonts w:ascii="Times New Roman" w:hAnsi="Times New Roman"/>
          <w:sz w:val="22"/>
          <w:szCs w:val="22"/>
          <w:lang w:val="mk-MK"/>
        </w:rPr>
      </w:pPr>
      <w:r w:rsidRPr="00BF2D81">
        <w:rPr>
          <w:rFonts w:ascii="Times New Roman" w:hAnsi="Times New Roman"/>
          <w:sz w:val="22"/>
          <w:szCs w:val="22"/>
        </w:rPr>
        <w:t xml:space="preserve">The official approval of the </w:t>
      </w:r>
      <w:r w:rsidRPr="00A65F76">
        <w:rPr>
          <w:rFonts w:ascii="Times New Roman" w:hAnsi="Times New Roman"/>
          <w:sz w:val="22"/>
          <w:szCs w:val="22"/>
        </w:rPr>
        <w:t xml:space="preserve">detailed </w:t>
      </w:r>
      <w:r w:rsidRPr="00BF2D81">
        <w:rPr>
          <w:rFonts w:ascii="Times New Roman" w:hAnsi="Times New Roman"/>
          <w:sz w:val="22"/>
          <w:szCs w:val="22"/>
        </w:rPr>
        <w:t>Training Plan described in the Article 14 of the Special Conditions and in the Technical Specifications (Annex II+III), provided by the Contractor is made by the Contracting Authority within 15 days after the submission of the document</w:t>
      </w:r>
      <w:r w:rsidR="00FE591C">
        <w:rPr>
          <w:rFonts w:ascii="Times New Roman" w:hAnsi="Times New Roman"/>
          <w:sz w:val="22"/>
          <w:szCs w:val="22"/>
          <w:lang w:val="mk-MK"/>
        </w:rPr>
        <w:t>.</w:t>
      </w:r>
    </w:p>
    <w:p w14:paraId="55B54155" w14:textId="77777777" w:rsidR="0047783A" w:rsidRPr="003D6B6C" w:rsidRDefault="0047783A" w:rsidP="00B34179">
      <w:pPr>
        <w:spacing w:before="240"/>
        <w:ind w:left="1134" w:hanging="1134"/>
        <w:jc w:val="both"/>
        <w:rPr>
          <w:rFonts w:ascii="Times New Roman" w:hAnsi="Times New Roman"/>
          <w:b/>
          <w:sz w:val="24"/>
          <w:szCs w:val="24"/>
        </w:rPr>
      </w:pPr>
      <w:bookmarkStart w:id="6" w:name="_Toc124934899"/>
      <w:r w:rsidRPr="003D6B6C">
        <w:rPr>
          <w:rFonts w:ascii="Times New Roman" w:hAnsi="Times New Roman"/>
          <w:b/>
          <w:sz w:val="24"/>
          <w:szCs w:val="24"/>
        </w:rPr>
        <w:t>Article 8</w:t>
      </w:r>
      <w:r w:rsidRPr="003D6B6C">
        <w:rPr>
          <w:rFonts w:ascii="Times New Roman" w:hAnsi="Times New Roman"/>
          <w:b/>
          <w:sz w:val="24"/>
          <w:szCs w:val="24"/>
        </w:rPr>
        <w:tab/>
        <w:t>Assistance with local regulations</w:t>
      </w:r>
      <w:bookmarkEnd w:id="6"/>
    </w:p>
    <w:p w14:paraId="25984E2B" w14:textId="318B45E6" w:rsidR="00532398" w:rsidRPr="00E21DC0" w:rsidRDefault="00532398" w:rsidP="00532398">
      <w:pPr>
        <w:autoSpaceDE w:val="0"/>
        <w:autoSpaceDN w:val="0"/>
        <w:adjustRightInd w:val="0"/>
        <w:spacing w:before="0" w:after="0"/>
        <w:jc w:val="both"/>
        <w:rPr>
          <w:rFonts w:ascii="Times New Roman" w:hAnsi="Times New Roman"/>
          <w:snapToGrid/>
          <w:sz w:val="22"/>
          <w:szCs w:val="22"/>
          <w:lang w:val="en-US"/>
        </w:rPr>
      </w:pPr>
      <w:r w:rsidRPr="00E21DC0">
        <w:rPr>
          <w:rFonts w:ascii="Times New Roman" w:hAnsi="Times New Roman"/>
          <w:sz w:val="22"/>
          <w:szCs w:val="22"/>
        </w:rPr>
        <w:t xml:space="preserve">Whilst the Contracting Authority agrees to use its contacts with the authorities where appropriate to assist the Contractor in obtaining the requisite permits or import licences, the prime and ultimate responsibility and the cost for obtaining of these permits and licences shall lie with the Contractor who shall keep the Contracting authority informed. </w:t>
      </w:r>
      <w:r w:rsidRPr="00E21DC0">
        <w:rPr>
          <w:rFonts w:ascii="Times New Roman" w:hAnsi="Times New Roman"/>
          <w:snapToGrid/>
          <w:sz w:val="22"/>
          <w:szCs w:val="22"/>
          <w:lang w:val="en-US"/>
        </w:rPr>
        <w:t xml:space="preserve">Namely, the obtaining of the import licenses shall be done by the Contractor in accordance with the national legislation, in particular the </w:t>
      </w:r>
      <w:r w:rsidRPr="00304BBA">
        <w:rPr>
          <w:rFonts w:ascii="Times New Roman" w:hAnsi="Times New Roman"/>
          <w:snapToGrid/>
          <w:sz w:val="22"/>
          <w:szCs w:val="22"/>
          <w:lang w:val="en-US"/>
        </w:rPr>
        <w:t>Customs Code (Official Journal No. 39/2005; No. 4/2008; No. 48/2010; No. 158/2010; No. 44/2011; No. 53/2011; No. 11/2012; No. 171/2012</w:t>
      </w:r>
      <w:r w:rsidR="00304BBA">
        <w:rPr>
          <w:rFonts w:ascii="Times New Roman" w:hAnsi="Times New Roman"/>
          <w:snapToGrid/>
          <w:sz w:val="22"/>
          <w:szCs w:val="22"/>
          <w:lang w:val="en-US"/>
        </w:rPr>
        <w:t>;</w:t>
      </w:r>
      <w:r w:rsidRPr="00304BBA">
        <w:rPr>
          <w:rFonts w:ascii="Times New Roman" w:hAnsi="Times New Roman"/>
          <w:snapToGrid/>
          <w:sz w:val="22"/>
          <w:szCs w:val="22"/>
          <w:lang w:val="en-US"/>
        </w:rPr>
        <w:t xml:space="preserve"> No. 187/2013</w:t>
      </w:r>
      <w:r w:rsidR="00304BBA">
        <w:rPr>
          <w:rFonts w:ascii="Times New Roman" w:hAnsi="Times New Roman"/>
          <w:snapToGrid/>
          <w:sz w:val="22"/>
          <w:szCs w:val="22"/>
          <w:lang w:val="en-US"/>
        </w:rPr>
        <w:t>; No. 15/2015; No. 129/2015; No. 154/2015; No. 192/2015 and No. 23/2016</w:t>
      </w:r>
      <w:r w:rsidRPr="00304BBA">
        <w:rPr>
          <w:rFonts w:ascii="Times New Roman" w:hAnsi="Times New Roman"/>
          <w:snapToGrid/>
          <w:sz w:val="22"/>
          <w:szCs w:val="22"/>
          <w:lang w:val="en-US"/>
        </w:rPr>
        <w:t>).</w:t>
      </w:r>
    </w:p>
    <w:p w14:paraId="5EFB9DDD" w14:textId="77777777" w:rsidR="00532398" w:rsidRDefault="00532398" w:rsidP="00AA4A7E">
      <w:pPr>
        <w:tabs>
          <w:tab w:val="left" w:pos="426"/>
        </w:tabs>
        <w:ind w:right="-2"/>
        <w:jc w:val="both"/>
        <w:rPr>
          <w:rFonts w:ascii="Times New Roman" w:hAnsi="Times New Roman"/>
          <w:sz w:val="22"/>
          <w:szCs w:val="22"/>
        </w:rPr>
      </w:pPr>
      <w:r w:rsidRPr="00E21DC0">
        <w:rPr>
          <w:rFonts w:ascii="Times New Roman" w:hAnsi="Times New Roman"/>
          <w:sz w:val="22"/>
          <w:szCs w:val="22"/>
        </w:rPr>
        <w:t>If the Contractor is late in applying for or fails to apply for such permits or licences then it may not claim for extensions in the Period of Implementation or additional costs as a result</w:t>
      </w:r>
    </w:p>
    <w:p w14:paraId="452E893F" w14:textId="77777777" w:rsidR="00E0396B" w:rsidRPr="003D6B6C" w:rsidRDefault="00E0396B" w:rsidP="00FE689C">
      <w:pPr>
        <w:tabs>
          <w:tab w:val="left" w:pos="1134"/>
        </w:tabs>
        <w:jc w:val="both"/>
        <w:rPr>
          <w:rFonts w:ascii="Times New Roman" w:hAnsi="Times New Roman"/>
          <w:b/>
          <w:sz w:val="22"/>
          <w:szCs w:val="22"/>
        </w:rPr>
      </w:pPr>
      <w:r w:rsidRPr="003D6B6C">
        <w:rPr>
          <w:rFonts w:ascii="Times New Roman" w:hAnsi="Times New Roman"/>
          <w:b/>
          <w:sz w:val="22"/>
          <w:szCs w:val="22"/>
        </w:rPr>
        <w:t>Article 9</w:t>
      </w:r>
      <w:r w:rsidRPr="003D6B6C">
        <w:rPr>
          <w:rFonts w:ascii="Times New Roman" w:hAnsi="Times New Roman"/>
          <w:b/>
          <w:sz w:val="22"/>
          <w:szCs w:val="22"/>
        </w:rPr>
        <w:tab/>
        <w:t xml:space="preserve">General </w:t>
      </w:r>
      <w:r w:rsidR="00B2529B">
        <w:rPr>
          <w:rFonts w:ascii="Times New Roman" w:hAnsi="Times New Roman"/>
          <w:b/>
          <w:sz w:val="22"/>
          <w:szCs w:val="22"/>
        </w:rPr>
        <w:t>o</w:t>
      </w:r>
      <w:r w:rsidRPr="003D6B6C">
        <w:rPr>
          <w:rFonts w:ascii="Times New Roman" w:hAnsi="Times New Roman"/>
          <w:b/>
          <w:sz w:val="22"/>
          <w:szCs w:val="22"/>
        </w:rPr>
        <w:t>bligations</w:t>
      </w:r>
    </w:p>
    <w:p w14:paraId="26C84152" w14:textId="796A3B01" w:rsidR="00FD23EE" w:rsidRDefault="00532398" w:rsidP="00A65F76">
      <w:pPr>
        <w:tabs>
          <w:tab w:val="left" w:pos="426"/>
        </w:tabs>
        <w:ind w:right="-2"/>
        <w:jc w:val="both"/>
        <w:rPr>
          <w:rFonts w:ascii="Times New Roman" w:hAnsi="Times New Roman"/>
          <w:sz w:val="22"/>
          <w:szCs w:val="22"/>
        </w:rPr>
      </w:pPr>
      <w:r w:rsidRPr="005C2004">
        <w:rPr>
          <w:rFonts w:ascii="Times New Roman" w:hAnsi="Times New Roman"/>
          <w:sz w:val="22"/>
          <w:szCs w:val="22"/>
        </w:rPr>
        <w:t>The Contractor shall take the necessary measures to ensure the visibility of the European Union financing or co-financing. These measures must comply with the rules in the Communication and Visibility Manual for EU External Actions published by the European Commissio</w:t>
      </w:r>
      <w:r w:rsidR="00A65F76">
        <w:rPr>
          <w:rFonts w:ascii="Times New Roman" w:hAnsi="Times New Roman"/>
          <w:sz w:val="22"/>
          <w:szCs w:val="22"/>
        </w:rPr>
        <w:t xml:space="preserve">n: </w:t>
      </w:r>
      <w:hyperlink r:id="rId8" w:history="1">
        <w:r w:rsidR="009B71DF" w:rsidRPr="00AF7F07">
          <w:rPr>
            <w:rStyle w:val="Hyperlink"/>
            <w:rFonts w:ascii="Times New Roman" w:hAnsi="Times New Roman"/>
            <w:sz w:val="22"/>
            <w:szCs w:val="22"/>
          </w:rPr>
          <w:t>https://ec.europa.eu/europeaid/funding/communication-and-visibility-manual-eu-external-actions_en</w:t>
        </w:r>
      </w:hyperlink>
      <w:r w:rsidR="00FD23EE">
        <w:rPr>
          <w:rFonts w:ascii="Times New Roman" w:hAnsi="Times New Roman"/>
          <w:sz w:val="22"/>
          <w:szCs w:val="22"/>
        </w:rPr>
        <w:t xml:space="preserve"> and </w:t>
      </w:r>
      <w:r w:rsidR="00FD23EE" w:rsidRPr="00FD23EE">
        <w:rPr>
          <w:rFonts w:ascii="Times New Roman" w:hAnsi="Times New Roman"/>
          <w:sz w:val="22"/>
          <w:szCs w:val="22"/>
        </w:rPr>
        <w:t>with the rules lay down in the Communication and Visibility Manual for EU External Actions published on the website of the programme</w:t>
      </w:r>
      <w:r w:rsidR="00FD23EE">
        <w:rPr>
          <w:rFonts w:ascii="Times New Roman" w:hAnsi="Times New Roman"/>
          <w:sz w:val="22"/>
          <w:szCs w:val="22"/>
        </w:rPr>
        <w:t xml:space="preserve">: </w:t>
      </w:r>
      <w:hyperlink r:id="rId9" w:history="1">
        <w:r w:rsidR="00FD23EE" w:rsidRPr="008E619A">
          <w:rPr>
            <w:rStyle w:val="Hyperlink"/>
            <w:rFonts w:ascii="Times New Roman" w:hAnsi="Times New Roman"/>
            <w:sz w:val="22"/>
            <w:szCs w:val="22"/>
          </w:rPr>
          <w:t>http://www.ipa-cbc-programme.eu/gallery/Files/Library/Information--Publicity-Guide_Name-change_November-2019.pdf</w:t>
        </w:r>
      </w:hyperlink>
      <w:r w:rsidR="00FD23EE">
        <w:rPr>
          <w:rFonts w:ascii="Times New Roman" w:hAnsi="Times New Roman"/>
          <w:sz w:val="22"/>
          <w:szCs w:val="22"/>
        </w:rPr>
        <w:t>.</w:t>
      </w:r>
    </w:p>
    <w:p w14:paraId="3F4BF58F" w14:textId="77777777" w:rsidR="00532398" w:rsidRPr="00FD23EE" w:rsidRDefault="00532398" w:rsidP="00A65F76">
      <w:pPr>
        <w:widowControl w:val="0"/>
        <w:ind w:left="36" w:right="-2" w:hanging="36"/>
        <w:jc w:val="both"/>
        <w:rPr>
          <w:rFonts w:ascii="Times New Roman" w:hAnsi="Times New Roman"/>
          <w:spacing w:val="-3"/>
          <w:sz w:val="22"/>
          <w:szCs w:val="22"/>
          <w:lang w:val="mk-MK"/>
        </w:rPr>
      </w:pPr>
      <w:r w:rsidRPr="00A65F76">
        <w:rPr>
          <w:rFonts w:ascii="Times New Roman" w:hAnsi="Times New Roman"/>
          <w:sz w:val="22"/>
          <w:szCs w:val="22"/>
        </w:rPr>
        <w:t>The Contractor must ensure that actions that are wholly or partially funded by the European Union (EU) incorporate information and communication activities designed to raise the awareness of specific or general audiences of the reasons for the action</w:t>
      </w:r>
      <w:r w:rsidRPr="00360D7B">
        <w:rPr>
          <w:rFonts w:ascii="Times New Roman" w:hAnsi="Times New Roman"/>
          <w:spacing w:val="-3"/>
          <w:sz w:val="22"/>
          <w:szCs w:val="22"/>
          <w:lang w:val="en-US"/>
        </w:rPr>
        <w:t xml:space="preserve"> and the EU support for</w:t>
      </w:r>
      <w:r>
        <w:rPr>
          <w:rFonts w:ascii="Times New Roman" w:hAnsi="Times New Roman"/>
          <w:spacing w:val="-3"/>
          <w:sz w:val="22"/>
          <w:szCs w:val="22"/>
          <w:lang w:val="en-US"/>
        </w:rPr>
        <w:t xml:space="preserve"> </w:t>
      </w:r>
      <w:r w:rsidRPr="00360D7B">
        <w:rPr>
          <w:rFonts w:ascii="Times New Roman" w:hAnsi="Times New Roman"/>
          <w:spacing w:val="-3"/>
          <w:sz w:val="22"/>
          <w:szCs w:val="22"/>
          <w:lang w:val="en-US"/>
        </w:rPr>
        <w:t>the action in the country or region concerned, as well as the results and the impact of this</w:t>
      </w:r>
      <w:r>
        <w:rPr>
          <w:rFonts w:ascii="Times New Roman" w:hAnsi="Times New Roman"/>
          <w:spacing w:val="-3"/>
          <w:sz w:val="22"/>
          <w:szCs w:val="22"/>
          <w:lang w:val="en-US"/>
        </w:rPr>
        <w:t xml:space="preserve"> </w:t>
      </w:r>
      <w:r w:rsidRPr="00360D7B">
        <w:rPr>
          <w:rFonts w:ascii="Times New Roman" w:hAnsi="Times New Roman"/>
          <w:spacing w:val="-3"/>
          <w:sz w:val="22"/>
          <w:szCs w:val="22"/>
          <w:lang w:val="en-US"/>
        </w:rPr>
        <w:t>support. All visibility events as well as materials produced within the EU-funded project need to</w:t>
      </w:r>
      <w:r>
        <w:rPr>
          <w:rFonts w:ascii="Times New Roman" w:hAnsi="Times New Roman"/>
          <w:spacing w:val="-3"/>
          <w:sz w:val="22"/>
          <w:szCs w:val="22"/>
          <w:lang w:val="en-US"/>
        </w:rPr>
        <w:t xml:space="preserve"> </w:t>
      </w:r>
      <w:r w:rsidRPr="00360D7B">
        <w:rPr>
          <w:rFonts w:ascii="Times New Roman" w:hAnsi="Times New Roman"/>
          <w:spacing w:val="-3"/>
          <w:sz w:val="22"/>
          <w:szCs w:val="22"/>
          <w:lang w:val="en-US"/>
        </w:rPr>
        <w:t xml:space="preserve">incorporate </w:t>
      </w:r>
      <w:r w:rsidRPr="00360D7B">
        <w:rPr>
          <w:rFonts w:ascii="Times New Roman" w:hAnsi="Times New Roman"/>
          <w:bCs/>
          <w:spacing w:val="-3"/>
          <w:sz w:val="22"/>
          <w:szCs w:val="22"/>
          <w:lang w:val="en-US"/>
        </w:rPr>
        <w:t xml:space="preserve">mandatory information that actions are wholly or partially funded by the European Union </w:t>
      </w:r>
      <w:r w:rsidRPr="00360D7B">
        <w:rPr>
          <w:rFonts w:ascii="Times New Roman" w:hAnsi="Times New Roman"/>
          <w:spacing w:val="-3"/>
          <w:sz w:val="22"/>
          <w:szCs w:val="22"/>
          <w:lang w:val="en-US"/>
        </w:rPr>
        <w:t xml:space="preserve">(EU), as follows: EU logo, the title of </w:t>
      </w:r>
      <w:r w:rsidRPr="00360D7B">
        <w:rPr>
          <w:rFonts w:ascii="Times New Roman" w:hAnsi="Times New Roman"/>
          <w:bCs/>
          <w:spacing w:val="-3"/>
          <w:sz w:val="22"/>
          <w:szCs w:val="22"/>
          <w:lang w:val="en-US"/>
        </w:rPr>
        <w:t xml:space="preserve">the </w:t>
      </w:r>
      <w:r w:rsidRPr="00360D7B">
        <w:rPr>
          <w:rFonts w:ascii="Times New Roman" w:hAnsi="Times New Roman"/>
          <w:spacing w:val="-3"/>
          <w:sz w:val="22"/>
          <w:szCs w:val="22"/>
          <w:lang w:val="en-US"/>
        </w:rPr>
        <w:t>project and the sentence; "This project is funded by the European Union".</w:t>
      </w:r>
    </w:p>
    <w:p w14:paraId="1D880C40" w14:textId="77777777" w:rsidR="0047783A" w:rsidRPr="003D6B6C" w:rsidRDefault="0047783A" w:rsidP="001B55AC">
      <w:pPr>
        <w:keepNext/>
        <w:spacing w:before="240"/>
        <w:ind w:left="1134" w:hanging="1134"/>
        <w:jc w:val="both"/>
        <w:rPr>
          <w:rFonts w:ascii="Times New Roman" w:hAnsi="Times New Roman"/>
          <w:b/>
          <w:sz w:val="24"/>
          <w:szCs w:val="24"/>
        </w:rPr>
      </w:pPr>
      <w:bookmarkStart w:id="7" w:name="_Toc124934900"/>
      <w:r w:rsidRPr="003D6B6C">
        <w:rPr>
          <w:rFonts w:ascii="Times New Roman" w:hAnsi="Times New Roman"/>
          <w:b/>
          <w:sz w:val="24"/>
          <w:szCs w:val="24"/>
        </w:rPr>
        <w:t>Article 10</w:t>
      </w:r>
      <w:r w:rsidRPr="003D6B6C">
        <w:rPr>
          <w:rFonts w:ascii="Times New Roman" w:hAnsi="Times New Roman"/>
          <w:b/>
          <w:sz w:val="24"/>
          <w:szCs w:val="24"/>
        </w:rPr>
        <w:tab/>
        <w:t>Origin</w:t>
      </w:r>
      <w:bookmarkEnd w:id="7"/>
    </w:p>
    <w:p w14:paraId="074AA4A2" w14:textId="17497796" w:rsidR="0047783A" w:rsidRPr="003D6B6C" w:rsidRDefault="0047783A" w:rsidP="009352CA">
      <w:pPr>
        <w:pStyle w:val="Heading2"/>
        <w:keepNext w:val="0"/>
        <w:numPr>
          <w:ilvl w:val="1"/>
          <w:numId w:val="0"/>
        </w:numPr>
        <w:ind w:left="708" w:hanging="708"/>
        <w:jc w:val="both"/>
        <w:rPr>
          <w:rFonts w:ascii="Times New Roman" w:hAnsi="Times New Roman"/>
          <w:sz w:val="22"/>
          <w:szCs w:val="22"/>
          <w:lang w:val="en-GB"/>
        </w:rPr>
      </w:pPr>
      <w:r w:rsidRPr="003D6B6C">
        <w:rPr>
          <w:rFonts w:ascii="Times New Roman" w:hAnsi="Times New Roman"/>
          <w:sz w:val="22"/>
          <w:szCs w:val="22"/>
          <w:lang w:val="en-GB"/>
        </w:rPr>
        <w:t>10.1</w:t>
      </w:r>
      <w:r w:rsidRPr="003D6B6C">
        <w:rPr>
          <w:rFonts w:ascii="Times New Roman" w:hAnsi="Times New Roman"/>
          <w:sz w:val="22"/>
          <w:szCs w:val="22"/>
          <w:lang w:val="en-GB"/>
        </w:rPr>
        <w:tab/>
        <w:t xml:space="preserve">All goods purchased must originate in a Member State of the European Union or a country covered by the </w:t>
      </w:r>
      <w:r w:rsidR="000270F2" w:rsidRPr="00FE591C">
        <w:rPr>
          <w:rFonts w:ascii="Times New Roman" w:hAnsi="Times New Roman"/>
          <w:sz w:val="22"/>
          <w:szCs w:val="22"/>
          <w:lang w:val="en-GB"/>
        </w:rPr>
        <w:t xml:space="preserve">IPA programme (Council regulation (EC) </w:t>
      </w:r>
      <w:r w:rsidR="00FE591C" w:rsidRPr="00FE591C">
        <w:rPr>
          <w:rFonts w:ascii="Times New Roman" w:hAnsi="Times New Roman"/>
          <w:sz w:val="22"/>
          <w:szCs w:val="22"/>
          <w:lang w:val="en-GB"/>
        </w:rPr>
        <w:t>No </w:t>
      </w:r>
      <w:r w:rsidR="00FE591C" w:rsidRPr="00FE591C">
        <w:rPr>
          <w:rFonts w:ascii="Times New Roman" w:eastAsia="MS Mincho" w:hAnsi="Times New Roman"/>
          <w:noProof/>
          <w:sz w:val="22"/>
          <w:szCs w:val="22"/>
          <w:lang w:val="en-GB" w:eastAsia="ja-JP"/>
        </w:rPr>
        <w:t>236/2014</w:t>
      </w:r>
      <w:r w:rsidR="00FE591C" w:rsidRPr="00FE591C">
        <w:rPr>
          <w:rFonts w:ascii="Times New Roman" w:eastAsia="MS Mincho" w:hAnsi="Times New Roman"/>
          <w:noProof/>
          <w:sz w:val="22"/>
          <w:szCs w:val="22"/>
          <w:lang w:val="mk-MK" w:eastAsia="ja-JP"/>
        </w:rPr>
        <w:t>)</w:t>
      </w:r>
      <w:r w:rsidR="00FE591C" w:rsidRPr="00FE591C">
        <w:rPr>
          <w:rFonts w:ascii="Times New Roman" w:eastAsia="MS Mincho" w:hAnsi="Times New Roman"/>
          <w:noProof/>
          <w:sz w:val="22"/>
          <w:szCs w:val="22"/>
          <w:lang w:val="en-GB" w:eastAsia="ja-JP"/>
        </w:rPr>
        <w:t>.</w:t>
      </w:r>
      <w:r w:rsidR="00FE591C">
        <w:rPr>
          <w:rFonts w:eastAsia="MS Mincho"/>
          <w:noProof/>
          <w:sz w:val="22"/>
          <w:szCs w:val="22"/>
          <w:lang w:val="en-GB" w:eastAsia="ja-JP"/>
        </w:rPr>
        <w:t xml:space="preserve"> </w:t>
      </w:r>
      <w:r w:rsidRPr="003D6B6C">
        <w:rPr>
          <w:rFonts w:ascii="Times New Roman" w:hAnsi="Times New Roman"/>
          <w:sz w:val="22"/>
          <w:szCs w:val="22"/>
          <w:lang w:val="en-GB"/>
        </w:rPr>
        <w:t xml:space="preserve"> For these purposes, </w:t>
      </w:r>
      <w:r w:rsidR="006A5F84" w:rsidRPr="003D6B6C">
        <w:rPr>
          <w:rFonts w:ascii="Times New Roman" w:hAnsi="Times New Roman"/>
          <w:sz w:val="22"/>
          <w:szCs w:val="22"/>
          <w:lang w:val="en-GB"/>
        </w:rPr>
        <w:t>‘</w:t>
      </w:r>
      <w:r w:rsidRPr="003D6B6C">
        <w:rPr>
          <w:rFonts w:ascii="Times New Roman" w:hAnsi="Times New Roman"/>
          <w:sz w:val="22"/>
          <w:szCs w:val="22"/>
          <w:lang w:val="en-GB"/>
        </w:rPr>
        <w:t>origin</w:t>
      </w:r>
      <w:r w:rsidR="006A5F84" w:rsidRPr="003D6B6C">
        <w:rPr>
          <w:rFonts w:ascii="Times New Roman" w:hAnsi="Times New Roman"/>
          <w:sz w:val="22"/>
          <w:szCs w:val="22"/>
          <w:lang w:val="en-GB"/>
        </w:rPr>
        <w:t>’</w:t>
      </w:r>
      <w:r w:rsidRPr="003D6B6C">
        <w:rPr>
          <w:rFonts w:ascii="Times New Roman" w:hAnsi="Times New Roman"/>
          <w:sz w:val="22"/>
          <w:szCs w:val="22"/>
          <w:lang w:val="en-GB"/>
        </w:rPr>
        <w:t xml:space="preserve"> means the place where the goods are mined, grown, produced or manufactured and/or from which services are provided. The origin of the goods must be determined according to the EU Customs Code or to the relevant international agreement applicable.</w:t>
      </w:r>
    </w:p>
    <w:p w14:paraId="13D9078F" w14:textId="77777777" w:rsidR="0047783A" w:rsidRPr="003D6B6C" w:rsidRDefault="0047783A" w:rsidP="00B34179">
      <w:pPr>
        <w:spacing w:before="240"/>
        <w:ind w:left="1134" w:hanging="1134"/>
        <w:jc w:val="both"/>
        <w:rPr>
          <w:rFonts w:ascii="Times New Roman" w:hAnsi="Times New Roman"/>
          <w:b/>
          <w:sz w:val="24"/>
          <w:szCs w:val="24"/>
        </w:rPr>
      </w:pPr>
      <w:bookmarkStart w:id="8" w:name="_Toc124934901"/>
      <w:r w:rsidRPr="003D6B6C">
        <w:rPr>
          <w:rFonts w:ascii="Times New Roman" w:hAnsi="Times New Roman"/>
          <w:b/>
          <w:sz w:val="24"/>
          <w:szCs w:val="24"/>
        </w:rPr>
        <w:t>Article 11</w:t>
      </w:r>
      <w:r w:rsidRPr="003D6B6C">
        <w:rPr>
          <w:rFonts w:ascii="Times New Roman" w:hAnsi="Times New Roman"/>
          <w:b/>
          <w:sz w:val="24"/>
          <w:szCs w:val="24"/>
        </w:rPr>
        <w:tab/>
        <w:t>Performance guarantee</w:t>
      </w:r>
      <w:bookmarkEnd w:id="8"/>
    </w:p>
    <w:p w14:paraId="0803B439" w14:textId="44CA30D2" w:rsidR="0047783A" w:rsidRPr="003D6B6C" w:rsidRDefault="00F355C1" w:rsidP="009352CA">
      <w:pPr>
        <w:ind w:left="709" w:hanging="709"/>
        <w:jc w:val="both"/>
        <w:rPr>
          <w:rFonts w:ascii="Times New Roman" w:hAnsi="Times New Roman"/>
          <w:sz w:val="22"/>
          <w:szCs w:val="22"/>
        </w:rPr>
      </w:pPr>
      <w:r w:rsidRPr="003D6B6C">
        <w:rPr>
          <w:rFonts w:ascii="Times New Roman" w:hAnsi="Times New Roman"/>
          <w:sz w:val="22"/>
          <w:szCs w:val="22"/>
        </w:rPr>
        <w:t>11.1</w:t>
      </w:r>
      <w:r w:rsidRPr="003D6B6C">
        <w:rPr>
          <w:rFonts w:ascii="Times New Roman" w:hAnsi="Times New Roman"/>
          <w:sz w:val="22"/>
          <w:szCs w:val="22"/>
        </w:rPr>
        <w:tab/>
      </w:r>
      <w:r w:rsidR="0047783A" w:rsidRPr="00A65F76">
        <w:rPr>
          <w:rFonts w:ascii="Times New Roman" w:hAnsi="Times New Roman"/>
          <w:sz w:val="22"/>
          <w:szCs w:val="22"/>
        </w:rPr>
        <w:t xml:space="preserve">The amount of the performance guarantee </w:t>
      </w:r>
      <w:r w:rsidR="005B0129" w:rsidRPr="00A65F76">
        <w:rPr>
          <w:rFonts w:ascii="Times New Roman" w:hAnsi="Times New Roman"/>
          <w:sz w:val="22"/>
          <w:szCs w:val="22"/>
        </w:rPr>
        <w:t xml:space="preserve">shall </w:t>
      </w:r>
      <w:r w:rsidR="0047783A" w:rsidRPr="00A65F76">
        <w:rPr>
          <w:rFonts w:ascii="Times New Roman" w:hAnsi="Times New Roman"/>
          <w:sz w:val="22"/>
          <w:szCs w:val="22"/>
        </w:rPr>
        <w:t>10</w:t>
      </w:r>
      <w:r w:rsidR="00D662AA" w:rsidRPr="00A65F76">
        <w:rPr>
          <w:rFonts w:ascii="Times New Roman" w:hAnsi="Times New Roman"/>
          <w:sz w:val="22"/>
          <w:szCs w:val="22"/>
        </w:rPr>
        <w:t xml:space="preserve">% </w:t>
      </w:r>
      <w:r w:rsidR="0047783A" w:rsidRPr="00A65F76">
        <w:rPr>
          <w:rFonts w:ascii="Times New Roman" w:hAnsi="Times New Roman"/>
          <w:sz w:val="22"/>
          <w:szCs w:val="22"/>
        </w:rPr>
        <w:t xml:space="preserve">of the </w:t>
      </w:r>
      <w:r w:rsidR="001E2362" w:rsidRPr="00A65F76">
        <w:rPr>
          <w:rFonts w:ascii="Times New Roman" w:hAnsi="Times New Roman"/>
          <w:sz w:val="22"/>
          <w:szCs w:val="22"/>
        </w:rPr>
        <w:t xml:space="preserve">total </w:t>
      </w:r>
      <w:r w:rsidR="00B2529B" w:rsidRPr="00A65F76">
        <w:rPr>
          <w:rFonts w:ascii="Times New Roman" w:hAnsi="Times New Roman"/>
          <w:sz w:val="22"/>
          <w:szCs w:val="22"/>
        </w:rPr>
        <w:t>c</w:t>
      </w:r>
      <w:r w:rsidR="0097513D" w:rsidRPr="00A65F76">
        <w:rPr>
          <w:rFonts w:ascii="Times New Roman" w:hAnsi="Times New Roman"/>
          <w:sz w:val="22"/>
          <w:szCs w:val="22"/>
        </w:rPr>
        <w:t>ontract</w:t>
      </w:r>
      <w:r w:rsidR="0047783A" w:rsidRPr="00A65F76">
        <w:rPr>
          <w:rFonts w:ascii="Times New Roman" w:hAnsi="Times New Roman"/>
          <w:sz w:val="22"/>
          <w:szCs w:val="22"/>
        </w:rPr>
        <w:t xml:space="preserve"> </w:t>
      </w:r>
      <w:r w:rsidR="001E2362" w:rsidRPr="00A65F76">
        <w:rPr>
          <w:rFonts w:ascii="Times New Roman" w:hAnsi="Times New Roman"/>
          <w:sz w:val="22"/>
          <w:szCs w:val="22"/>
        </w:rPr>
        <w:t>price</w:t>
      </w:r>
      <w:r w:rsidR="00637C8F" w:rsidRPr="00A65F76">
        <w:rPr>
          <w:rFonts w:ascii="Times New Roman" w:hAnsi="Times New Roman"/>
          <w:sz w:val="22"/>
          <w:szCs w:val="22"/>
        </w:rPr>
        <w:t>,</w:t>
      </w:r>
      <w:r w:rsidR="0047783A" w:rsidRPr="00A65F76">
        <w:rPr>
          <w:rFonts w:ascii="Times New Roman" w:hAnsi="Times New Roman"/>
          <w:sz w:val="22"/>
          <w:szCs w:val="22"/>
        </w:rPr>
        <w:t xml:space="preserve"> </w:t>
      </w:r>
      <w:r w:rsidR="00637C8F" w:rsidRPr="00A65F76">
        <w:rPr>
          <w:rFonts w:ascii="Times New Roman" w:hAnsi="Times New Roman"/>
          <w:sz w:val="22"/>
          <w:szCs w:val="22"/>
        </w:rPr>
        <w:t xml:space="preserve">including any amounts stipulated in addenda to the </w:t>
      </w:r>
      <w:r w:rsidR="00B2529B" w:rsidRPr="00A65F76">
        <w:rPr>
          <w:rFonts w:ascii="Times New Roman" w:hAnsi="Times New Roman"/>
          <w:sz w:val="22"/>
          <w:szCs w:val="22"/>
        </w:rPr>
        <w:t>c</w:t>
      </w:r>
      <w:r w:rsidR="00637C8F" w:rsidRPr="00A65F76">
        <w:rPr>
          <w:rFonts w:ascii="Times New Roman" w:hAnsi="Times New Roman"/>
          <w:sz w:val="22"/>
          <w:szCs w:val="22"/>
        </w:rPr>
        <w:t>ontract</w:t>
      </w:r>
      <w:r w:rsidR="0047783A" w:rsidRPr="00532398">
        <w:rPr>
          <w:rFonts w:ascii="Times New Roman" w:hAnsi="Times New Roman"/>
          <w:sz w:val="22"/>
          <w:szCs w:val="22"/>
        </w:rPr>
        <w:t>.</w:t>
      </w:r>
    </w:p>
    <w:p w14:paraId="6DCC56D0" w14:textId="77777777" w:rsidR="0047783A" w:rsidRPr="003D6B6C" w:rsidRDefault="0047783A" w:rsidP="00B34179">
      <w:pPr>
        <w:spacing w:before="240"/>
        <w:ind w:left="1134" w:hanging="1134"/>
        <w:jc w:val="both"/>
        <w:rPr>
          <w:rFonts w:ascii="Times New Roman" w:hAnsi="Times New Roman"/>
          <w:b/>
          <w:sz w:val="24"/>
          <w:szCs w:val="24"/>
        </w:rPr>
      </w:pPr>
      <w:bookmarkStart w:id="9" w:name="_Toc124934902"/>
      <w:r w:rsidRPr="003D6B6C">
        <w:rPr>
          <w:rFonts w:ascii="Times New Roman" w:hAnsi="Times New Roman"/>
          <w:b/>
          <w:sz w:val="24"/>
          <w:szCs w:val="24"/>
        </w:rPr>
        <w:lastRenderedPageBreak/>
        <w:t>Article 12</w:t>
      </w:r>
      <w:r w:rsidRPr="003D6B6C">
        <w:rPr>
          <w:rFonts w:ascii="Times New Roman" w:hAnsi="Times New Roman"/>
          <w:b/>
          <w:sz w:val="24"/>
          <w:szCs w:val="24"/>
        </w:rPr>
        <w:tab/>
      </w:r>
      <w:r w:rsidR="004D33C9" w:rsidRPr="003D6B6C">
        <w:rPr>
          <w:rFonts w:ascii="Times New Roman" w:hAnsi="Times New Roman"/>
          <w:b/>
          <w:sz w:val="24"/>
          <w:szCs w:val="24"/>
        </w:rPr>
        <w:t xml:space="preserve">Liabilities and </w:t>
      </w:r>
      <w:r w:rsidR="00B2529B">
        <w:rPr>
          <w:rFonts w:ascii="Times New Roman" w:hAnsi="Times New Roman"/>
          <w:b/>
          <w:sz w:val="24"/>
          <w:szCs w:val="24"/>
        </w:rPr>
        <w:t>i</w:t>
      </w:r>
      <w:r w:rsidRPr="003D6B6C">
        <w:rPr>
          <w:rFonts w:ascii="Times New Roman" w:hAnsi="Times New Roman"/>
          <w:b/>
          <w:sz w:val="24"/>
          <w:szCs w:val="24"/>
        </w:rPr>
        <w:t>nsurance</w:t>
      </w:r>
      <w:bookmarkEnd w:id="9"/>
    </w:p>
    <w:p w14:paraId="77E5D0F8" w14:textId="35B9C417" w:rsidR="004D33C9" w:rsidRPr="003D6B6C" w:rsidRDefault="003D6B6C" w:rsidP="00A65F76">
      <w:pPr>
        <w:tabs>
          <w:tab w:val="left" w:pos="1843"/>
        </w:tabs>
        <w:spacing w:before="240"/>
        <w:ind w:left="1843" w:hanging="1843"/>
        <w:jc w:val="both"/>
        <w:rPr>
          <w:rFonts w:ascii="Times New Roman" w:hAnsi="Times New Roman"/>
          <w:sz w:val="22"/>
          <w:szCs w:val="22"/>
        </w:rPr>
      </w:pPr>
      <w:r>
        <w:rPr>
          <w:rFonts w:ascii="Times New Roman" w:hAnsi="Times New Roman"/>
          <w:sz w:val="22"/>
          <w:szCs w:val="22"/>
        </w:rPr>
        <w:t>12.2</w:t>
      </w:r>
      <w:r w:rsidR="001020D9">
        <w:rPr>
          <w:rFonts w:ascii="Times New Roman" w:hAnsi="Times New Roman"/>
          <w:sz w:val="22"/>
          <w:szCs w:val="22"/>
        </w:rPr>
        <w:t>(</w:t>
      </w:r>
      <w:r w:rsidR="00F51D3D" w:rsidRPr="003D6B6C">
        <w:rPr>
          <w:rFonts w:ascii="Times New Roman" w:hAnsi="Times New Roman"/>
          <w:sz w:val="22"/>
          <w:szCs w:val="22"/>
        </w:rPr>
        <w:t>a</w:t>
      </w:r>
      <w:r w:rsidR="004D33C9" w:rsidRPr="003D6B6C">
        <w:rPr>
          <w:rFonts w:ascii="Times New Roman" w:hAnsi="Times New Roman"/>
          <w:sz w:val="22"/>
          <w:szCs w:val="22"/>
        </w:rPr>
        <w:t xml:space="preserve">), paragraph </w:t>
      </w:r>
      <w:r>
        <w:rPr>
          <w:rFonts w:ascii="Times New Roman" w:hAnsi="Times New Roman"/>
          <w:sz w:val="22"/>
          <w:szCs w:val="22"/>
        </w:rPr>
        <w:t>2</w:t>
      </w:r>
    </w:p>
    <w:p w14:paraId="468EBBA5" w14:textId="6E95F106" w:rsidR="004D33C9" w:rsidRPr="003D6B6C" w:rsidRDefault="004D33C9" w:rsidP="00D341B7">
      <w:pPr>
        <w:spacing w:before="240"/>
        <w:ind w:left="720"/>
        <w:jc w:val="both"/>
        <w:rPr>
          <w:rFonts w:ascii="Times New Roman" w:hAnsi="Times New Roman"/>
          <w:sz w:val="22"/>
          <w:szCs w:val="22"/>
        </w:rPr>
      </w:pPr>
      <w:r w:rsidRPr="00A65F76">
        <w:rPr>
          <w:rFonts w:ascii="Times New Roman" w:hAnsi="Times New Roman"/>
          <w:sz w:val="22"/>
          <w:szCs w:val="22"/>
        </w:rPr>
        <w:t>By derogation from Article 12</w:t>
      </w:r>
      <w:r w:rsidR="00F51D3D" w:rsidRPr="00A65F76">
        <w:rPr>
          <w:rFonts w:ascii="Times New Roman" w:hAnsi="Times New Roman"/>
          <w:sz w:val="22"/>
          <w:szCs w:val="22"/>
        </w:rPr>
        <w:t>.2</w:t>
      </w:r>
      <w:r w:rsidR="001020D9" w:rsidRPr="00A65F76">
        <w:rPr>
          <w:rFonts w:ascii="Times New Roman" w:hAnsi="Times New Roman"/>
          <w:sz w:val="22"/>
          <w:szCs w:val="22"/>
        </w:rPr>
        <w:t>(</w:t>
      </w:r>
      <w:r w:rsidR="00F51D3D" w:rsidRPr="00A65F76">
        <w:rPr>
          <w:rFonts w:ascii="Times New Roman" w:hAnsi="Times New Roman"/>
          <w:sz w:val="22"/>
          <w:szCs w:val="22"/>
        </w:rPr>
        <w:t>a</w:t>
      </w:r>
      <w:r w:rsidRPr="00A65F76">
        <w:rPr>
          <w:rFonts w:ascii="Times New Roman" w:hAnsi="Times New Roman"/>
          <w:sz w:val="22"/>
          <w:szCs w:val="22"/>
        </w:rPr>
        <w:t xml:space="preserve">), paragraph </w:t>
      </w:r>
      <w:r w:rsidR="00F51D3D" w:rsidRPr="00A65F76">
        <w:rPr>
          <w:rFonts w:ascii="Times New Roman" w:hAnsi="Times New Roman"/>
          <w:sz w:val="22"/>
          <w:szCs w:val="22"/>
        </w:rPr>
        <w:t>2</w:t>
      </w:r>
      <w:r w:rsidR="001020D9" w:rsidRPr="00A65F76">
        <w:rPr>
          <w:rFonts w:ascii="Times New Roman" w:hAnsi="Times New Roman"/>
          <w:sz w:val="22"/>
          <w:szCs w:val="22"/>
        </w:rPr>
        <w:t>,</w:t>
      </w:r>
      <w:r w:rsidRPr="00A65F76">
        <w:rPr>
          <w:rFonts w:ascii="Times New Roman" w:hAnsi="Times New Roman"/>
          <w:sz w:val="22"/>
          <w:szCs w:val="22"/>
        </w:rPr>
        <w:t xml:space="preserve"> of the </w:t>
      </w:r>
      <w:r w:rsidR="00B2529B" w:rsidRPr="00A65F76">
        <w:rPr>
          <w:rFonts w:ascii="Times New Roman" w:hAnsi="Times New Roman"/>
          <w:sz w:val="22"/>
          <w:szCs w:val="22"/>
        </w:rPr>
        <w:t>g</w:t>
      </w:r>
      <w:r w:rsidRPr="00A65F76">
        <w:rPr>
          <w:rFonts w:ascii="Times New Roman" w:hAnsi="Times New Roman"/>
          <w:sz w:val="22"/>
          <w:szCs w:val="22"/>
        </w:rPr>
        <w:t xml:space="preserve">eneral </w:t>
      </w:r>
      <w:r w:rsidR="00B2529B" w:rsidRPr="00A65F76">
        <w:rPr>
          <w:rFonts w:ascii="Times New Roman" w:hAnsi="Times New Roman"/>
          <w:sz w:val="22"/>
          <w:szCs w:val="22"/>
        </w:rPr>
        <w:t>c</w:t>
      </w:r>
      <w:r w:rsidRPr="00A65F76">
        <w:rPr>
          <w:rFonts w:ascii="Times New Roman" w:hAnsi="Times New Roman"/>
          <w:sz w:val="22"/>
          <w:szCs w:val="22"/>
        </w:rPr>
        <w:t>onditions it is</w:t>
      </w:r>
      <w:r w:rsidR="005D1969" w:rsidRPr="005D1969">
        <w:rPr>
          <w:rFonts w:ascii="Times New Roman" w:hAnsi="Times New Roman"/>
          <w:sz w:val="22"/>
          <w:szCs w:val="22"/>
        </w:rPr>
        <w:t>,</w:t>
      </w:r>
      <w:r w:rsidRPr="005D1969">
        <w:rPr>
          <w:rFonts w:ascii="Times New Roman" w:hAnsi="Times New Roman"/>
          <w:sz w:val="22"/>
          <w:szCs w:val="22"/>
        </w:rPr>
        <w:t xml:space="preserve"> </w:t>
      </w:r>
      <w:r w:rsidR="005D1969" w:rsidRPr="005D1969">
        <w:rPr>
          <w:rFonts w:ascii="Times New Roman" w:hAnsi="Times New Roman"/>
          <w:sz w:val="22"/>
          <w:szCs w:val="22"/>
        </w:rPr>
        <w:t>with submission of the first invoice for payment under the contrac</w:t>
      </w:r>
      <w:r w:rsidR="00D341B7">
        <w:rPr>
          <w:rFonts w:ascii="Times New Roman" w:hAnsi="Times New Roman"/>
          <w:sz w:val="22"/>
          <w:szCs w:val="22"/>
        </w:rPr>
        <w:t>t</w:t>
      </w:r>
      <w:r w:rsidR="005D1969" w:rsidRPr="005D1969">
        <w:rPr>
          <w:rFonts w:ascii="Times New Roman" w:hAnsi="Times New Roman"/>
          <w:sz w:val="22"/>
          <w:szCs w:val="22"/>
        </w:rPr>
        <w:t>,</w:t>
      </w:r>
      <w:r w:rsidR="00D341B7">
        <w:rPr>
          <w:rFonts w:ascii="Times New Roman" w:hAnsi="Times New Roman"/>
          <w:sz w:val="22"/>
          <w:szCs w:val="22"/>
        </w:rPr>
        <w:t xml:space="preserve"> </w:t>
      </w:r>
      <w:r w:rsidRPr="00A65F76">
        <w:rPr>
          <w:rFonts w:ascii="Times New Roman" w:hAnsi="Times New Roman"/>
          <w:sz w:val="22"/>
          <w:szCs w:val="22"/>
        </w:rPr>
        <w:t xml:space="preserve">that the </w:t>
      </w:r>
      <w:r w:rsidR="00B2529B" w:rsidRPr="00A65F76">
        <w:rPr>
          <w:rFonts w:ascii="Times New Roman" w:hAnsi="Times New Roman"/>
          <w:sz w:val="22"/>
          <w:szCs w:val="22"/>
        </w:rPr>
        <w:t>c</w:t>
      </w:r>
      <w:r w:rsidRPr="00A65F76">
        <w:rPr>
          <w:rFonts w:ascii="Times New Roman" w:hAnsi="Times New Roman"/>
          <w:sz w:val="22"/>
          <w:szCs w:val="22"/>
        </w:rPr>
        <w:t xml:space="preserve">ontractor shall provide </w:t>
      </w:r>
      <w:r w:rsidRPr="00A65F76">
        <w:rPr>
          <w:rFonts w:ascii="Times New Roman" w:hAnsi="Times New Roman"/>
          <w:color w:val="222222"/>
          <w:sz w:val="22"/>
          <w:szCs w:val="22"/>
          <w:lang w:val="en"/>
        </w:rPr>
        <w:t xml:space="preserve">the </w:t>
      </w:r>
      <w:r w:rsidR="00B2529B" w:rsidRPr="00A65F76">
        <w:rPr>
          <w:rFonts w:ascii="Times New Roman" w:hAnsi="Times New Roman"/>
          <w:color w:val="222222"/>
          <w:sz w:val="22"/>
          <w:szCs w:val="22"/>
          <w:lang w:val="en"/>
        </w:rPr>
        <w:t>c</w:t>
      </w:r>
      <w:r w:rsidRPr="00A65F76">
        <w:rPr>
          <w:rFonts w:ascii="Times New Roman" w:hAnsi="Times New Roman"/>
          <w:color w:val="222222"/>
          <w:sz w:val="22"/>
          <w:szCs w:val="22"/>
          <w:lang w:val="en"/>
        </w:rPr>
        <w:t xml:space="preserve">ontracting </w:t>
      </w:r>
      <w:r w:rsidR="00B2529B" w:rsidRPr="00A65F76">
        <w:rPr>
          <w:rFonts w:ascii="Times New Roman" w:hAnsi="Times New Roman"/>
          <w:color w:val="222222"/>
          <w:sz w:val="22"/>
          <w:szCs w:val="22"/>
          <w:lang w:val="en"/>
        </w:rPr>
        <w:t>a</w:t>
      </w:r>
      <w:r w:rsidRPr="00A65F76">
        <w:rPr>
          <w:rFonts w:ascii="Times New Roman" w:hAnsi="Times New Roman"/>
          <w:color w:val="222222"/>
          <w:sz w:val="22"/>
          <w:szCs w:val="22"/>
          <w:lang w:val="en"/>
        </w:rPr>
        <w:t xml:space="preserve">uthority </w:t>
      </w:r>
      <w:r w:rsidRPr="00A65F76">
        <w:rPr>
          <w:rFonts w:ascii="Times New Roman" w:hAnsi="Times New Roman"/>
          <w:sz w:val="22"/>
          <w:szCs w:val="22"/>
        </w:rPr>
        <w:t xml:space="preserve">with all cover notes and/or insurance </w:t>
      </w:r>
      <w:r w:rsidR="00BC0A51" w:rsidRPr="00A65F76">
        <w:rPr>
          <w:rFonts w:ascii="Times New Roman" w:hAnsi="Times New Roman"/>
          <w:sz w:val="22"/>
          <w:szCs w:val="22"/>
        </w:rPr>
        <w:t xml:space="preserve">certificates </w:t>
      </w:r>
      <w:r w:rsidRPr="00A65F76">
        <w:rPr>
          <w:rFonts w:ascii="Times New Roman" w:hAnsi="Times New Roman"/>
          <w:sz w:val="22"/>
          <w:szCs w:val="22"/>
        </w:rPr>
        <w:t xml:space="preserve">showing that the </w:t>
      </w:r>
      <w:r w:rsidR="00B2529B" w:rsidRPr="00A65F76">
        <w:rPr>
          <w:rFonts w:ascii="Times New Roman" w:hAnsi="Times New Roman"/>
          <w:sz w:val="22"/>
          <w:szCs w:val="22"/>
        </w:rPr>
        <w:t>c</w:t>
      </w:r>
      <w:r w:rsidRPr="00A65F76">
        <w:rPr>
          <w:rFonts w:ascii="Times New Roman" w:hAnsi="Times New Roman"/>
          <w:sz w:val="22"/>
          <w:szCs w:val="22"/>
        </w:rPr>
        <w:t>ontractor's obligations relating to insurance are fully respected</w:t>
      </w:r>
      <w:r w:rsidRPr="005D1969">
        <w:rPr>
          <w:rFonts w:ascii="Times New Roman" w:hAnsi="Times New Roman"/>
          <w:sz w:val="22"/>
          <w:szCs w:val="22"/>
        </w:rPr>
        <w:t>.</w:t>
      </w:r>
    </w:p>
    <w:p w14:paraId="3B9A83E9" w14:textId="77777777" w:rsidR="0047783A" w:rsidRPr="003D6B6C" w:rsidRDefault="0047783A" w:rsidP="00B34179">
      <w:pPr>
        <w:spacing w:before="240"/>
        <w:ind w:left="1134" w:hanging="1134"/>
        <w:jc w:val="both"/>
        <w:rPr>
          <w:rFonts w:ascii="Times New Roman" w:hAnsi="Times New Roman"/>
          <w:b/>
          <w:sz w:val="24"/>
          <w:szCs w:val="24"/>
        </w:rPr>
      </w:pPr>
      <w:bookmarkStart w:id="10" w:name="_Toc124934903"/>
      <w:r w:rsidRPr="003D6B6C">
        <w:rPr>
          <w:rFonts w:ascii="Times New Roman" w:hAnsi="Times New Roman"/>
          <w:b/>
          <w:sz w:val="24"/>
          <w:szCs w:val="24"/>
        </w:rPr>
        <w:t>Article 13</w:t>
      </w:r>
      <w:r w:rsidRPr="003D6B6C">
        <w:rPr>
          <w:rFonts w:ascii="Times New Roman" w:hAnsi="Times New Roman"/>
          <w:b/>
          <w:sz w:val="24"/>
          <w:szCs w:val="24"/>
        </w:rPr>
        <w:tab/>
      </w:r>
      <w:bookmarkEnd w:id="10"/>
      <w:r w:rsidR="0086688D" w:rsidRPr="003D6B6C">
        <w:rPr>
          <w:rFonts w:ascii="Times New Roman" w:hAnsi="Times New Roman"/>
          <w:b/>
          <w:sz w:val="24"/>
          <w:szCs w:val="24"/>
        </w:rPr>
        <w:t>Programme of implementation of tasks</w:t>
      </w:r>
    </w:p>
    <w:p w14:paraId="2F686C69" w14:textId="177B4AD6" w:rsidR="000270F2" w:rsidRPr="00E21DC0" w:rsidRDefault="00AC1107" w:rsidP="00D341B7">
      <w:pPr>
        <w:ind w:left="709" w:hanging="709"/>
        <w:jc w:val="both"/>
        <w:rPr>
          <w:rFonts w:ascii="Times New Roman" w:hAnsi="Times New Roman"/>
          <w:sz w:val="22"/>
          <w:szCs w:val="22"/>
        </w:rPr>
      </w:pPr>
      <w:r w:rsidRPr="003D6B6C">
        <w:rPr>
          <w:rFonts w:ascii="Times New Roman" w:hAnsi="Times New Roman"/>
          <w:sz w:val="22"/>
          <w:szCs w:val="22"/>
        </w:rPr>
        <w:t>13.2</w:t>
      </w:r>
      <w:r w:rsidRPr="003D6B6C">
        <w:rPr>
          <w:rFonts w:ascii="Times New Roman" w:hAnsi="Times New Roman"/>
          <w:sz w:val="22"/>
          <w:szCs w:val="22"/>
        </w:rPr>
        <w:tab/>
      </w:r>
      <w:r w:rsidR="000270F2" w:rsidRPr="00E21DC0">
        <w:rPr>
          <w:rFonts w:ascii="Times New Roman" w:hAnsi="Times New Roman"/>
          <w:sz w:val="22"/>
          <w:szCs w:val="22"/>
        </w:rPr>
        <w:t xml:space="preserve">The Contractor shall submit to the Project Manager for approval within 14 days from the date of signature of the Contract an accurate and detail programme of performance as stipulated in Article 13.1 of the General Conditions. The programme should show, inter alia, latest dates for: completion of manufacture, shipping, custom clearance (if applicable), arrival in country, arrival at place of acceptance, completion of installation, commissioning and provisional acceptance at the required locations, in which the Contractor proposes to carry out the Supply Contract within the time allowed for completion. </w:t>
      </w:r>
      <w:r w:rsidR="000270F2" w:rsidRPr="00E53223">
        <w:rPr>
          <w:rFonts w:ascii="Times New Roman" w:hAnsi="Times New Roman"/>
          <w:sz w:val="22"/>
          <w:szCs w:val="22"/>
        </w:rPr>
        <w:t xml:space="preserve">The implementation programme must reflect the requirements of the Technical Specifications indicating tasks and sub-tasks for each phase </w:t>
      </w:r>
      <w:r w:rsidR="004E0052">
        <w:rPr>
          <w:rFonts w:ascii="Times New Roman" w:hAnsi="Times New Roman"/>
          <w:sz w:val="22"/>
          <w:szCs w:val="22"/>
        </w:rPr>
        <w:t>o</w:t>
      </w:r>
      <w:r w:rsidR="000270F2" w:rsidRPr="00E53223">
        <w:rPr>
          <w:rFonts w:ascii="Times New Roman" w:hAnsi="Times New Roman"/>
          <w:sz w:val="22"/>
          <w:szCs w:val="22"/>
        </w:rPr>
        <w:t>f the project and resources which will be provided for their realisation</w:t>
      </w:r>
      <w:r w:rsidR="000270F2">
        <w:rPr>
          <w:rFonts w:ascii="Times New Roman" w:hAnsi="Times New Roman"/>
          <w:sz w:val="22"/>
          <w:szCs w:val="22"/>
        </w:rPr>
        <w:t xml:space="preserve">. </w:t>
      </w:r>
      <w:r w:rsidR="000270F2" w:rsidRPr="00304BBA">
        <w:rPr>
          <w:rFonts w:ascii="Times New Roman" w:hAnsi="Times New Roman"/>
          <w:sz w:val="22"/>
          <w:szCs w:val="22"/>
        </w:rPr>
        <w:t>Submitted programme should be accompanied by Work Plan.</w:t>
      </w:r>
    </w:p>
    <w:p w14:paraId="5413B55C" w14:textId="77777777" w:rsidR="000270F2" w:rsidRPr="00E21DC0" w:rsidRDefault="000270F2" w:rsidP="00D341B7">
      <w:pPr>
        <w:ind w:left="720"/>
        <w:jc w:val="both"/>
        <w:rPr>
          <w:rFonts w:ascii="Times New Roman" w:hAnsi="Times New Roman"/>
          <w:sz w:val="22"/>
          <w:szCs w:val="22"/>
        </w:rPr>
      </w:pPr>
      <w:r w:rsidRPr="00E21DC0">
        <w:rPr>
          <w:rFonts w:ascii="Times New Roman" w:hAnsi="Times New Roman"/>
          <w:sz w:val="22"/>
          <w:szCs w:val="22"/>
        </w:rPr>
        <w:t>No separate payment shall be made for the preparation/monthly updating as requested of such a programme and the Contractor shall allow for the associated costs elsewhere in his tender.</w:t>
      </w:r>
    </w:p>
    <w:p w14:paraId="132173A0" w14:textId="35979594" w:rsidR="0047783A" w:rsidRPr="003D6B6C" w:rsidRDefault="000270F2" w:rsidP="00D341B7">
      <w:pPr>
        <w:ind w:left="720"/>
        <w:jc w:val="both"/>
        <w:rPr>
          <w:rFonts w:ascii="Times New Roman" w:hAnsi="Times New Roman"/>
          <w:b/>
          <w:sz w:val="22"/>
          <w:szCs w:val="22"/>
        </w:rPr>
      </w:pPr>
      <w:r w:rsidRPr="00E21DC0">
        <w:rPr>
          <w:rFonts w:ascii="Times New Roman" w:hAnsi="Times New Roman"/>
          <w:sz w:val="22"/>
          <w:szCs w:val="22"/>
        </w:rPr>
        <w:t>The Project Manager shall make comments and/or objections concerning the Programme supplied by the Contractor within 14 calendar days of their submission. It shall be considered that all those comments and/or objections are accepted by the Contractor, if he should not contradict them in writing, either by registered letter, or fax sent to the Project Manager, within 7 calendar days of their receipt. The absence of any comments and or objections from the Project Manager within the 14 calendar days above shall be deemed to be approval</w:t>
      </w:r>
    </w:p>
    <w:p w14:paraId="055D7581" w14:textId="77777777" w:rsidR="0047783A" w:rsidRPr="003D6B6C" w:rsidRDefault="0047783A" w:rsidP="00B34179">
      <w:pPr>
        <w:spacing w:before="240"/>
        <w:ind w:left="1134" w:hanging="1134"/>
        <w:jc w:val="both"/>
        <w:rPr>
          <w:rFonts w:ascii="Times New Roman" w:hAnsi="Times New Roman"/>
          <w:b/>
          <w:sz w:val="24"/>
          <w:szCs w:val="24"/>
        </w:rPr>
      </w:pPr>
      <w:bookmarkStart w:id="11" w:name="_Toc124934904"/>
      <w:r w:rsidRPr="003D6B6C">
        <w:rPr>
          <w:rFonts w:ascii="Times New Roman" w:hAnsi="Times New Roman"/>
          <w:b/>
          <w:sz w:val="24"/>
          <w:szCs w:val="24"/>
        </w:rPr>
        <w:t>Article 14</w:t>
      </w:r>
      <w:r w:rsidRPr="003D6B6C">
        <w:rPr>
          <w:rFonts w:ascii="Times New Roman" w:hAnsi="Times New Roman"/>
          <w:b/>
          <w:sz w:val="24"/>
          <w:szCs w:val="24"/>
        </w:rPr>
        <w:tab/>
        <w:t>Contractor</w:t>
      </w:r>
      <w:r w:rsidR="006A5F84" w:rsidRPr="003D6B6C">
        <w:rPr>
          <w:rFonts w:ascii="Times New Roman" w:hAnsi="Times New Roman"/>
          <w:b/>
          <w:sz w:val="24"/>
          <w:szCs w:val="24"/>
        </w:rPr>
        <w:t>’</w:t>
      </w:r>
      <w:r w:rsidRPr="003D6B6C">
        <w:rPr>
          <w:rFonts w:ascii="Times New Roman" w:hAnsi="Times New Roman"/>
          <w:b/>
          <w:sz w:val="24"/>
          <w:szCs w:val="24"/>
        </w:rPr>
        <w:t>s drawings</w:t>
      </w:r>
      <w:bookmarkEnd w:id="11"/>
    </w:p>
    <w:p w14:paraId="6D718810" w14:textId="77777777" w:rsidR="000270F2" w:rsidRPr="00A65F76" w:rsidRDefault="005B0129" w:rsidP="00D341B7">
      <w:pPr>
        <w:ind w:left="709" w:hanging="709"/>
        <w:jc w:val="both"/>
        <w:rPr>
          <w:rFonts w:ascii="Times New Roman" w:hAnsi="Times New Roman"/>
          <w:sz w:val="22"/>
          <w:szCs w:val="22"/>
        </w:rPr>
      </w:pPr>
      <w:r w:rsidRPr="003D6B6C">
        <w:rPr>
          <w:rFonts w:ascii="Times New Roman" w:hAnsi="Times New Roman"/>
          <w:sz w:val="22"/>
          <w:szCs w:val="22"/>
        </w:rPr>
        <w:t>14.1</w:t>
      </w:r>
      <w:r w:rsidRPr="003D6B6C">
        <w:rPr>
          <w:rFonts w:ascii="Times New Roman" w:hAnsi="Times New Roman"/>
          <w:sz w:val="22"/>
          <w:szCs w:val="22"/>
        </w:rPr>
        <w:tab/>
      </w:r>
      <w:r w:rsidR="000270F2" w:rsidRPr="001137A7">
        <w:rPr>
          <w:rFonts w:ascii="Times New Roman" w:hAnsi="Times New Roman"/>
          <w:sz w:val="22"/>
          <w:szCs w:val="22"/>
        </w:rPr>
        <w:t>All drawings required under the various docum</w:t>
      </w:r>
      <w:r w:rsidR="000270F2">
        <w:rPr>
          <w:rFonts w:ascii="Times New Roman" w:hAnsi="Times New Roman"/>
          <w:sz w:val="22"/>
          <w:szCs w:val="22"/>
        </w:rPr>
        <w:t xml:space="preserve">ents described in the Technical </w:t>
      </w:r>
      <w:r w:rsidR="000270F2" w:rsidRPr="001137A7">
        <w:rPr>
          <w:rFonts w:ascii="Times New Roman" w:hAnsi="Times New Roman"/>
          <w:sz w:val="22"/>
          <w:szCs w:val="22"/>
        </w:rPr>
        <w:t>Specification must be provided to the Contracting Authority for official approval, such as:</w:t>
      </w:r>
      <w:r w:rsidR="000270F2" w:rsidRPr="00BF2D81">
        <w:rPr>
          <w:rFonts w:ascii="Times New Roman" w:hAnsi="Times New Roman"/>
          <w:bCs/>
          <w:sz w:val="22"/>
          <w:szCs w:val="22"/>
          <w:lang w:val="en-US"/>
        </w:rPr>
        <w:t xml:space="preserve"> </w:t>
      </w:r>
    </w:p>
    <w:p w14:paraId="377DC27A" w14:textId="77777777" w:rsidR="000270F2" w:rsidRPr="001137A7" w:rsidRDefault="000270F2" w:rsidP="00D341B7">
      <w:pPr>
        <w:numPr>
          <w:ilvl w:val="0"/>
          <w:numId w:val="25"/>
        </w:numPr>
        <w:ind w:left="1418" w:hanging="709"/>
        <w:jc w:val="both"/>
        <w:rPr>
          <w:rFonts w:ascii="Times New Roman" w:hAnsi="Times New Roman"/>
          <w:sz w:val="22"/>
          <w:szCs w:val="22"/>
          <w:lang w:val="en-US"/>
        </w:rPr>
      </w:pPr>
      <w:r w:rsidRPr="001137A7">
        <w:rPr>
          <w:rFonts w:ascii="Times New Roman" w:hAnsi="Times New Roman"/>
          <w:bCs/>
          <w:sz w:val="22"/>
          <w:szCs w:val="22"/>
          <w:lang w:val="en-US"/>
        </w:rPr>
        <w:t xml:space="preserve">A detailed Training Plan describing in detail the training modules / topics as well as its duration (submission within </w:t>
      </w:r>
      <w:r>
        <w:rPr>
          <w:rFonts w:ascii="Times New Roman" w:hAnsi="Times New Roman"/>
          <w:bCs/>
          <w:sz w:val="22"/>
          <w:szCs w:val="22"/>
          <w:lang w:val="en-US"/>
        </w:rPr>
        <w:t>1</w:t>
      </w:r>
      <w:r w:rsidRPr="001137A7">
        <w:rPr>
          <w:rFonts w:ascii="Times New Roman" w:hAnsi="Times New Roman"/>
          <w:bCs/>
          <w:sz w:val="22"/>
          <w:szCs w:val="22"/>
          <w:lang w:val="en-US"/>
        </w:rPr>
        <w:t xml:space="preserve"> month </w:t>
      </w:r>
      <w:r>
        <w:rPr>
          <w:rFonts w:ascii="Times New Roman" w:hAnsi="Times New Roman"/>
          <w:sz w:val="22"/>
          <w:szCs w:val="22"/>
        </w:rPr>
        <w:t>from the commencement date</w:t>
      </w:r>
      <w:r w:rsidRPr="001137A7">
        <w:rPr>
          <w:rFonts w:ascii="Times New Roman" w:hAnsi="Times New Roman"/>
          <w:bCs/>
          <w:sz w:val="22"/>
          <w:szCs w:val="22"/>
          <w:lang w:val="en-US"/>
        </w:rPr>
        <w:t>).</w:t>
      </w:r>
    </w:p>
    <w:p w14:paraId="6E9A951D" w14:textId="32F88C6F" w:rsidR="000270F2" w:rsidRPr="001137A7" w:rsidRDefault="000270F2" w:rsidP="00D341B7">
      <w:pPr>
        <w:numPr>
          <w:ilvl w:val="0"/>
          <w:numId w:val="25"/>
        </w:numPr>
        <w:ind w:left="1418" w:hanging="709"/>
        <w:jc w:val="both"/>
        <w:rPr>
          <w:rFonts w:ascii="Times New Roman" w:hAnsi="Times New Roman"/>
          <w:sz w:val="22"/>
          <w:szCs w:val="22"/>
        </w:rPr>
      </w:pPr>
      <w:r w:rsidRPr="00BF2D81">
        <w:rPr>
          <w:rFonts w:ascii="Times New Roman" w:hAnsi="Times New Roman"/>
          <w:sz w:val="22"/>
          <w:szCs w:val="22"/>
        </w:rPr>
        <w:t xml:space="preserve">User manuals </w:t>
      </w:r>
      <w:r>
        <w:rPr>
          <w:rFonts w:ascii="Times New Roman" w:hAnsi="Times New Roman"/>
          <w:sz w:val="22"/>
          <w:szCs w:val="22"/>
        </w:rPr>
        <w:t>(submission 45 days</w:t>
      </w:r>
      <w:r w:rsidRPr="001137A7">
        <w:rPr>
          <w:rFonts w:ascii="Times New Roman" w:hAnsi="Times New Roman"/>
          <w:sz w:val="22"/>
          <w:szCs w:val="22"/>
        </w:rPr>
        <w:t xml:space="preserve"> before </w:t>
      </w:r>
      <w:r>
        <w:rPr>
          <w:rFonts w:ascii="Times New Roman" w:hAnsi="Times New Roman"/>
          <w:sz w:val="22"/>
          <w:szCs w:val="22"/>
        </w:rPr>
        <w:t>the Provisional acceptance</w:t>
      </w:r>
      <w:r w:rsidRPr="001137A7">
        <w:rPr>
          <w:rFonts w:ascii="Times New Roman" w:hAnsi="Times New Roman"/>
          <w:sz w:val="22"/>
          <w:szCs w:val="22"/>
        </w:rPr>
        <w:t>)</w:t>
      </w:r>
    </w:p>
    <w:p w14:paraId="34F7DD58" w14:textId="77777777" w:rsidR="0047783A" w:rsidRPr="003D6B6C" w:rsidRDefault="0047783A" w:rsidP="00B34179">
      <w:pPr>
        <w:spacing w:before="240"/>
        <w:ind w:left="1134" w:hanging="1134"/>
        <w:jc w:val="both"/>
        <w:rPr>
          <w:rFonts w:ascii="Times New Roman" w:hAnsi="Times New Roman"/>
          <w:b/>
          <w:sz w:val="24"/>
          <w:szCs w:val="24"/>
        </w:rPr>
      </w:pPr>
      <w:bookmarkStart w:id="12" w:name="_Toc124934905"/>
      <w:r w:rsidRPr="003D6B6C">
        <w:rPr>
          <w:rFonts w:ascii="Times New Roman" w:hAnsi="Times New Roman"/>
          <w:b/>
          <w:sz w:val="24"/>
          <w:szCs w:val="24"/>
        </w:rPr>
        <w:t>Article 15</w:t>
      </w:r>
      <w:r w:rsidR="007B4853" w:rsidRPr="003D6B6C">
        <w:rPr>
          <w:rFonts w:ascii="Times New Roman" w:hAnsi="Times New Roman"/>
          <w:b/>
          <w:sz w:val="24"/>
          <w:szCs w:val="24"/>
        </w:rPr>
        <w:tab/>
      </w:r>
      <w:r w:rsidR="005B0129" w:rsidRPr="003D6B6C">
        <w:rPr>
          <w:rFonts w:ascii="Times New Roman" w:hAnsi="Times New Roman"/>
          <w:b/>
          <w:sz w:val="24"/>
          <w:szCs w:val="24"/>
        </w:rPr>
        <w:t>Sufficiency of t</w:t>
      </w:r>
      <w:r w:rsidRPr="003D6B6C">
        <w:rPr>
          <w:rFonts w:ascii="Times New Roman" w:hAnsi="Times New Roman"/>
          <w:b/>
          <w:sz w:val="24"/>
          <w:szCs w:val="24"/>
        </w:rPr>
        <w:t>ender prices</w:t>
      </w:r>
      <w:bookmarkEnd w:id="12"/>
      <w:r w:rsidRPr="003D6B6C">
        <w:rPr>
          <w:rFonts w:ascii="Times New Roman" w:hAnsi="Times New Roman"/>
          <w:b/>
          <w:sz w:val="24"/>
          <w:szCs w:val="24"/>
        </w:rPr>
        <w:tab/>
      </w:r>
    </w:p>
    <w:p w14:paraId="23F3367D" w14:textId="77777777" w:rsidR="000270F2" w:rsidRPr="003D6B6C" w:rsidRDefault="005B0129" w:rsidP="00D341B7">
      <w:pPr>
        <w:ind w:left="709" w:hanging="709"/>
        <w:jc w:val="both"/>
        <w:rPr>
          <w:rFonts w:ascii="Times New Roman" w:hAnsi="Times New Roman"/>
          <w:sz w:val="22"/>
          <w:szCs w:val="22"/>
        </w:rPr>
      </w:pPr>
      <w:r w:rsidRPr="003D6B6C">
        <w:rPr>
          <w:rFonts w:ascii="Times New Roman" w:hAnsi="Times New Roman"/>
          <w:sz w:val="22"/>
          <w:szCs w:val="22"/>
        </w:rPr>
        <w:t>15.1</w:t>
      </w:r>
      <w:r w:rsidRPr="003D6B6C">
        <w:rPr>
          <w:rFonts w:ascii="Times New Roman" w:hAnsi="Times New Roman"/>
          <w:sz w:val="22"/>
          <w:szCs w:val="22"/>
        </w:rPr>
        <w:tab/>
      </w:r>
      <w:r w:rsidR="000270F2" w:rsidRPr="005C2004">
        <w:rPr>
          <w:rFonts w:ascii="Times New Roman" w:hAnsi="Times New Roman"/>
          <w:sz w:val="22"/>
          <w:szCs w:val="22"/>
        </w:rPr>
        <w:t>There are no additional provisions regarding Article 15 of the General Conditions.</w:t>
      </w:r>
    </w:p>
    <w:p w14:paraId="402E3137" w14:textId="3D15B131" w:rsidR="0047783A" w:rsidRPr="003D6B6C" w:rsidRDefault="0047783A" w:rsidP="00D341B7">
      <w:pPr>
        <w:jc w:val="both"/>
        <w:rPr>
          <w:rFonts w:ascii="Times New Roman" w:hAnsi="Times New Roman"/>
          <w:b/>
          <w:sz w:val="24"/>
          <w:szCs w:val="24"/>
        </w:rPr>
      </w:pPr>
      <w:bookmarkStart w:id="13" w:name="_Toc124934906"/>
      <w:r w:rsidRPr="003D6B6C">
        <w:rPr>
          <w:rFonts w:ascii="Times New Roman" w:hAnsi="Times New Roman"/>
          <w:b/>
          <w:sz w:val="24"/>
          <w:szCs w:val="24"/>
        </w:rPr>
        <w:t>Article 17</w:t>
      </w:r>
      <w:r w:rsidRPr="003D6B6C">
        <w:rPr>
          <w:rFonts w:ascii="Times New Roman" w:hAnsi="Times New Roman"/>
          <w:b/>
          <w:sz w:val="24"/>
          <w:szCs w:val="24"/>
        </w:rPr>
        <w:tab/>
        <w:t>Patents and licences</w:t>
      </w:r>
      <w:bookmarkEnd w:id="13"/>
    </w:p>
    <w:p w14:paraId="4722D802" w14:textId="56F4B9A2" w:rsidR="0047783A" w:rsidRPr="003D6B6C" w:rsidRDefault="005B0129" w:rsidP="00D341B7">
      <w:pPr>
        <w:ind w:left="709" w:hanging="709"/>
        <w:jc w:val="both"/>
        <w:rPr>
          <w:rFonts w:ascii="Times New Roman" w:hAnsi="Times New Roman"/>
          <w:sz w:val="22"/>
          <w:szCs w:val="22"/>
        </w:rPr>
      </w:pPr>
      <w:r w:rsidRPr="003D6B6C">
        <w:rPr>
          <w:rFonts w:ascii="Times New Roman" w:hAnsi="Times New Roman"/>
          <w:sz w:val="22"/>
          <w:szCs w:val="22"/>
        </w:rPr>
        <w:t>17.1</w:t>
      </w:r>
      <w:r w:rsidRPr="003D6B6C">
        <w:rPr>
          <w:rFonts w:ascii="Times New Roman" w:hAnsi="Times New Roman"/>
          <w:sz w:val="22"/>
          <w:szCs w:val="22"/>
        </w:rPr>
        <w:tab/>
      </w:r>
      <w:r w:rsidR="000270F2" w:rsidRPr="005C2004">
        <w:rPr>
          <w:rFonts w:ascii="Times New Roman" w:hAnsi="Times New Roman"/>
          <w:sz w:val="22"/>
          <w:szCs w:val="22"/>
        </w:rPr>
        <w:t>There is no derogation from Article 17 of the General Conditions</w:t>
      </w:r>
    </w:p>
    <w:p w14:paraId="39BC3108" w14:textId="5E2215CB" w:rsidR="00EB32E9" w:rsidRPr="00D341B7" w:rsidRDefault="0047783A" w:rsidP="00D341B7">
      <w:pPr>
        <w:spacing w:before="240"/>
        <w:ind w:left="1134" w:hanging="1134"/>
        <w:jc w:val="both"/>
        <w:rPr>
          <w:rFonts w:ascii="Times New Roman" w:hAnsi="Times New Roman"/>
          <w:b/>
          <w:sz w:val="24"/>
          <w:szCs w:val="24"/>
        </w:rPr>
      </w:pPr>
      <w:bookmarkStart w:id="14" w:name="_Toc124934907"/>
      <w:r w:rsidRPr="003D6B6C">
        <w:rPr>
          <w:rFonts w:ascii="Times New Roman" w:hAnsi="Times New Roman"/>
          <w:b/>
          <w:sz w:val="24"/>
          <w:szCs w:val="24"/>
        </w:rPr>
        <w:t>Article 18</w:t>
      </w:r>
      <w:r w:rsidRPr="003D6B6C">
        <w:rPr>
          <w:rFonts w:ascii="Times New Roman" w:hAnsi="Times New Roman"/>
          <w:b/>
          <w:sz w:val="24"/>
          <w:szCs w:val="24"/>
        </w:rPr>
        <w:tab/>
        <w:t>Commencement order</w:t>
      </w:r>
      <w:bookmarkEnd w:id="14"/>
      <w:r w:rsidR="00EB32E9" w:rsidRPr="003D6B6C">
        <w:rPr>
          <w:rFonts w:ascii="Times New Roman" w:hAnsi="Times New Roman"/>
          <w:b/>
          <w:sz w:val="24"/>
          <w:szCs w:val="24"/>
        </w:rPr>
        <w:t xml:space="preserve"> </w:t>
      </w:r>
      <w:r w:rsidR="00EB32E9" w:rsidRPr="003D6B6C">
        <w:rPr>
          <w:rFonts w:ascii="Times New Roman" w:hAnsi="Times New Roman"/>
          <w:sz w:val="22"/>
          <w:szCs w:val="22"/>
        </w:rPr>
        <w:t xml:space="preserve"> </w:t>
      </w:r>
    </w:p>
    <w:p w14:paraId="03B1C00D" w14:textId="6057D8CF" w:rsidR="00EB32E9" w:rsidRPr="003D6B6C" w:rsidRDefault="00EB32E9" w:rsidP="00D341B7">
      <w:pPr>
        <w:ind w:left="709" w:hanging="709"/>
        <w:jc w:val="both"/>
        <w:rPr>
          <w:rFonts w:ascii="Times New Roman" w:hAnsi="Times New Roman"/>
          <w:sz w:val="22"/>
          <w:szCs w:val="22"/>
        </w:rPr>
      </w:pPr>
      <w:r w:rsidRPr="003D6B6C">
        <w:rPr>
          <w:rFonts w:ascii="Times New Roman" w:hAnsi="Times New Roman"/>
          <w:sz w:val="22"/>
          <w:szCs w:val="22"/>
        </w:rPr>
        <w:t>18.1</w:t>
      </w:r>
      <w:r w:rsidRPr="003D6B6C">
        <w:rPr>
          <w:rFonts w:ascii="Times New Roman" w:hAnsi="Times New Roman"/>
          <w:sz w:val="22"/>
          <w:szCs w:val="22"/>
        </w:rPr>
        <w:tab/>
      </w:r>
      <w:r w:rsidRPr="00A65F76">
        <w:rPr>
          <w:rFonts w:ascii="Times New Roman" w:hAnsi="Times New Roman"/>
          <w:sz w:val="22"/>
          <w:szCs w:val="22"/>
        </w:rPr>
        <w:t xml:space="preserve">The </w:t>
      </w:r>
      <w:r w:rsidR="00F60098" w:rsidRPr="00A65F76">
        <w:rPr>
          <w:rFonts w:ascii="Times New Roman" w:hAnsi="Times New Roman"/>
          <w:sz w:val="22"/>
          <w:szCs w:val="22"/>
        </w:rPr>
        <w:t>c</w:t>
      </w:r>
      <w:r w:rsidRPr="00A65F76">
        <w:rPr>
          <w:rFonts w:ascii="Times New Roman" w:hAnsi="Times New Roman"/>
          <w:sz w:val="22"/>
          <w:szCs w:val="22"/>
        </w:rPr>
        <w:t xml:space="preserve">ontracting </w:t>
      </w:r>
      <w:r w:rsidR="00F60098" w:rsidRPr="00A65F76">
        <w:rPr>
          <w:rFonts w:ascii="Times New Roman" w:hAnsi="Times New Roman"/>
          <w:sz w:val="22"/>
          <w:szCs w:val="22"/>
        </w:rPr>
        <w:t>a</w:t>
      </w:r>
      <w:r w:rsidRPr="00A65F76">
        <w:rPr>
          <w:rFonts w:ascii="Times New Roman" w:hAnsi="Times New Roman"/>
          <w:sz w:val="22"/>
          <w:szCs w:val="22"/>
        </w:rPr>
        <w:t xml:space="preserve">uthority </w:t>
      </w:r>
      <w:r w:rsidR="00551543" w:rsidRPr="00A65F76">
        <w:rPr>
          <w:rFonts w:ascii="Times New Roman" w:hAnsi="Times New Roman"/>
          <w:sz w:val="22"/>
          <w:szCs w:val="22"/>
        </w:rPr>
        <w:t>sha</w:t>
      </w:r>
      <w:r w:rsidRPr="00A65F76">
        <w:rPr>
          <w:rFonts w:ascii="Times New Roman" w:hAnsi="Times New Roman"/>
          <w:sz w:val="22"/>
          <w:szCs w:val="22"/>
        </w:rPr>
        <w:t xml:space="preserve">ll inform the </w:t>
      </w:r>
      <w:r w:rsidR="00F60098" w:rsidRPr="00A65F76">
        <w:rPr>
          <w:rFonts w:ascii="Times New Roman" w:hAnsi="Times New Roman"/>
          <w:sz w:val="22"/>
          <w:szCs w:val="22"/>
        </w:rPr>
        <w:t>c</w:t>
      </w:r>
      <w:r w:rsidRPr="00A65F76">
        <w:rPr>
          <w:rFonts w:ascii="Times New Roman" w:hAnsi="Times New Roman"/>
          <w:sz w:val="22"/>
          <w:szCs w:val="22"/>
        </w:rPr>
        <w:t xml:space="preserve">ontractor </w:t>
      </w:r>
      <w:r w:rsidR="00551543" w:rsidRPr="00A65F76">
        <w:rPr>
          <w:rFonts w:ascii="Times New Roman" w:hAnsi="Times New Roman"/>
          <w:sz w:val="22"/>
          <w:szCs w:val="22"/>
        </w:rPr>
        <w:t xml:space="preserve">by administrative order </w:t>
      </w:r>
      <w:r w:rsidRPr="00A65F76">
        <w:rPr>
          <w:rFonts w:ascii="Times New Roman" w:hAnsi="Times New Roman"/>
          <w:sz w:val="22"/>
          <w:szCs w:val="22"/>
        </w:rPr>
        <w:t>of the date on which implementation of the tasks shall begin</w:t>
      </w:r>
      <w:r w:rsidR="00551543" w:rsidRPr="00A65F76">
        <w:rPr>
          <w:rFonts w:ascii="Times New Roman" w:hAnsi="Times New Roman"/>
          <w:sz w:val="22"/>
          <w:szCs w:val="22"/>
        </w:rPr>
        <w:t>.</w:t>
      </w:r>
    </w:p>
    <w:p w14:paraId="5521526B" w14:textId="77777777" w:rsidR="0047783A" w:rsidRPr="003D6B6C" w:rsidRDefault="0047783A" w:rsidP="00B34179">
      <w:pPr>
        <w:spacing w:before="240"/>
        <w:ind w:left="1134" w:hanging="1134"/>
        <w:jc w:val="both"/>
        <w:rPr>
          <w:rFonts w:ascii="Times New Roman" w:hAnsi="Times New Roman"/>
          <w:b/>
          <w:sz w:val="24"/>
          <w:szCs w:val="24"/>
        </w:rPr>
      </w:pPr>
      <w:bookmarkStart w:id="15" w:name="_Toc124934908"/>
      <w:r w:rsidRPr="003D6B6C">
        <w:rPr>
          <w:rFonts w:ascii="Times New Roman" w:hAnsi="Times New Roman"/>
          <w:b/>
          <w:sz w:val="24"/>
          <w:szCs w:val="24"/>
        </w:rPr>
        <w:t>Article 19</w:t>
      </w:r>
      <w:r w:rsidRPr="003D6B6C">
        <w:rPr>
          <w:rFonts w:ascii="Times New Roman" w:hAnsi="Times New Roman"/>
          <w:b/>
          <w:sz w:val="24"/>
          <w:szCs w:val="24"/>
        </w:rPr>
        <w:tab/>
        <w:t xml:space="preserve">Period of </w:t>
      </w:r>
      <w:r w:rsidR="00D662AA" w:rsidRPr="003D6B6C">
        <w:rPr>
          <w:rFonts w:ascii="Times New Roman" w:hAnsi="Times New Roman"/>
          <w:b/>
          <w:sz w:val="24"/>
          <w:szCs w:val="24"/>
        </w:rPr>
        <w:t>i</w:t>
      </w:r>
      <w:r w:rsidRPr="003D6B6C">
        <w:rPr>
          <w:rFonts w:ascii="Times New Roman" w:hAnsi="Times New Roman"/>
          <w:b/>
          <w:sz w:val="24"/>
          <w:szCs w:val="24"/>
        </w:rPr>
        <w:t>mplementation</w:t>
      </w:r>
      <w:bookmarkEnd w:id="15"/>
      <w:r w:rsidRPr="003D6B6C">
        <w:rPr>
          <w:rFonts w:ascii="Times New Roman" w:hAnsi="Times New Roman"/>
          <w:b/>
          <w:sz w:val="24"/>
          <w:szCs w:val="24"/>
        </w:rPr>
        <w:t xml:space="preserve"> of the tasks</w:t>
      </w:r>
    </w:p>
    <w:p w14:paraId="7A63A657" w14:textId="1900C22C" w:rsidR="0047783A" w:rsidRPr="003D6B6C" w:rsidRDefault="0047783A" w:rsidP="00D341B7">
      <w:pPr>
        <w:ind w:left="709" w:hanging="709"/>
        <w:jc w:val="both"/>
        <w:rPr>
          <w:rFonts w:ascii="Times New Roman" w:hAnsi="Times New Roman"/>
          <w:b/>
          <w:sz w:val="22"/>
          <w:szCs w:val="22"/>
        </w:rPr>
      </w:pPr>
      <w:r w:rsidRPr="003D6B6C">
        <w:rPr>
          <w:rFonts w:ascii="Times New Roman" w:hAnsi="Times New Roman"/>
          <w:sz w:val="22"/>
          <w:szCs w:val="22"/>
        </w:rPr>
        <w:lastRenderedPageBreak/>
        <w:t>19.1</w:t>
      </w:r>
      <w:r w:rsidRPr="003D6B6C">
        <w:rPr>
          <w:rFonts w:ascii="Times New Roman" w:hAnsi="Times New Roman"/>
          <w:b/>
          <w:sz w:val="22"/>
          <w:szCs w:val="22"/>
        </w:rPr>
        <w:tab/>
      </w:r>
      <w:r w:rsidR="000270F2" w:rsidRPr="00E21DC0">
        <w:rPr>
          <w:rFonts w:ascii="Times New Roman" w:hAnsi="Times New Roman"/>
          <w:sz w:val="22"/>
          <w:szCs w:val="22"/>
        </w:rPr>
        <w:t>The period of implementation of tasks, equal to the supply, delivery, unloading, installation, putting into operation, testing and training of equipment, starting from the commencement date and ending on the date of issuance of the Provisional Acceptance certificate shall be</w:t>
      </w:r>
      <w:r w:rsidR="000270F2">
        <w:rPr>
          <w:rFonts w:ascii="Times New Roman" w:hAnsi="Times New Roman"/>
          <w:sz w:val="22"/>
          <w:szCs w:val="22"/>
        </w:rPr>
        <w:t xml:space="preserve"> </w:t>
      </w:r>
      <w:r w:rsidR="000270F2" w:rsidRPr="001B40E9">
        <w:rPr>
          <w:rFonts w:ascii="Times New Roman" w:hAnsi="Times New Roman"/>
          <w:b/>
          <w:sz w:val="22"/>
          <w:szCs w:val="22"/>
        </w:rPr>
        <w:t>120 calendars days</w:t>
      </w:r>
      <w:r w:rsidR="000270F2">
        <w:rPr>
          <w:rFonts w:ascii="Times New Roman" w:hAnsi="Times New Roman"/>
          <w:sz w:val="22"/>
          <w:szCs w:val="22"/>
        </w:rPr>
        <w:t xml:space="preserve">, including a delivery period of </w:t>
      </w:r>
      <w:r w:rsidR="000270F2" w:rsidRPr="001B40E9">
        <w:rPr>
          <w:rFonts w:ascii="Times New Roman" w:hAnsi="Times New Roman"/>
          <w:b/>
          <w:sz w:val="22"/>
          <w:szCs w:val="22"/>
        </w:rPr>
        <w:t>60 calendar days</w:t>
      </w:r>
    </w:p>
    <w:p w14:paraId="5BF13EC8" w14:textId="77777777" w:rsidR="0047783A" w:rsidRPr="003D6B6C" w:rsidRDefault="0047783A" w:rsidP="00B34179">
      <w:pPr>
        <w:spacing w:before="240"/>
        <w:ind w:left="1134" w:hanging="1134"/>
        <w:jc w:val="both"/>
        <w:rPr>
          <w:rFonts w:ascii="Times New Roman" w:hAnsi="Times New Roman"/>
          <w:b/>
          <w:sz w:val="24"/>
          <w:szCs w:val="24"/>
        </w:rPr>
      </w:pPr>
      <w:bookmarkStart w:id="16" w:name="_Toc124934910"/>
      <w:r w:rsidRPr="003D6B6C">
        <w:rPr>
          <w:rFonts w:ascii="Times New Roman" w:hAnsi="Times New Roman"/>
          <w:b/>
          <w:sz w:val="24"/>
          <w:szCs w:val="24"/>
        </w:rPr>
        <w:t>Article 24</w:t>
      </w:r>
      <w:r w:rsidRPr="003D6B6C">
        <w:rPr>
          <w:rFonts w:ascii="Times New Roman" w:hAnsi="Times New Roman"/>
          <w:b/>
          <w:sz w:val="24"/>
          <w:szCs w:val="24"/>
        </w:rPr>
        <w:tab/>
        <w:t>Quality of supplies</w:t>
      </w:r>
      <w:bookmarkEnd w:id="16"/>
    </w:p>
    <w:p w14:paraId="51025D24" w14:textId="77777777" w:rsidR="000270F2" w:rsidRPr="006D0A7F" w:rsidRDefault="005B0129" w:rsidP="00D341B7">
      <w:pPr>
        <w:ind w:left="709" w:hanging="709"/>
        <w:jc w:val="both"/>
        <w:rPr>
          <w:rFonts w:ascii="Times New Roman" w:hAnsi="Times New Roman"/>
          <w:sz w:val="22"/>
          <w:szCs w:val="22"/>
          <w:lang w:val="mk-MK"/>
        </w:rPr>
      </w:pPr>
      <w:r w:rsidRPr="003D6B6C">
        <w:rPr>
          <w:rFonts w:ascii="Times New Roman" w:hAnsi="Times New Roman"/>
          <w:sz w:val="22"/>
          <w:szCs w:val="22"/>
        </w:rPr>
        <w:t>24.2</w:t>
      </w:r>
      <w:r w:rsidR="0047783A" w:rsidRPr="003D6B6C">
        <w:rPr>
          <w:rFonts w:ascii="Times New Roman" w:hAnsi="Times New Roman"/>
          <w:sz w:val="22"/>
          <w:szCs w:val="22"/>
        </w:rPr>
        <w:tab/>
      </w:r>
      <w:r w:rsidR="000270F2" w:rsidRPr="00E21DC0">
        <w:rPr>
          <w:rFonts w:ascii="Times New Roman" w:hAnsi="Times New Roman"/>
          <w:sz w:val="22"/>
          <w:szCs w:val="22"/>
        </w:rPr>
        <w:t>Preliminary technical acceptance is not required.</w:t>
      </w:r>
    </w:p>
    <w:p w14:paraId="62D070CF" w14:textId="77777777" w:rsidR="0047783A" w:rsidRPr="003D6B6C" w:rsidRDefault="0047783A" w:rsidP="00B34179">
      <w:pPr>
        <w:spacing w:before="240"/>
        <w:ind w:left="1134" w:hanging="1134"/>
        <w:jc w:val="both"/>
        <w:rPr>
          <w:rFonts w:ascii="Times New Roman" w:hAnsi="Times New Roman"/>
          <w:b/>
          <w:sz w:val="24"/>
          <w:szCs w:val="24"/>
        </w:rPr>
      </w:pPr>
      <w:bookmarkStart w:id="17" w:name="_Toc124934911"/>
      <w:r w:rsidRPr="003D6B6C">
        <w:rPr>
          <w:rFonts w:ascii="Times New Roman" w:hAnsi="Times New Roman"/>
          <w:b/>
          <w:sz w:val="24"/>
          <w:szCs w:val="24"/>
        </w:rPr>
        <w:t>Article 25</w:t>
      </w:r>
      <w:r w:rsidRPr="003D6B6C">
        <w:rPr>
          <w:rFonts w:ascii="Times New Roman" w:hAnsi="Times New Roman"/>
          <w:b/>
          <w:sz w:val="24"/>
          <w:szCs w:val="24"/>
        </w:rPr>
        <w:tab/>
        <w:t>Inspection and testing</w:t>
      </w:r>
      <w:bookmarkEnd w:id="17"/>
    </w:p>
    <w:p w14:paraId="71849AA6" w14:textId="77777777" w:rsidR="000270F2" w:rsidRPr="005C2004" w:rsidRDefault="005B0129" w:rsidP="00D341B7">
      <w:pPr>
        <w:ind w:left="709" w:hanging="709"/>
        <w:jc w:val="both"/>
        <w:rPr>
          <w:rFonts w:ascii="Times New Roman" w:hAnsi="Times New Roman"/>
          <w:bCs/>
          <w:sz w:val="22"/>
          <w:szCs w:val="22"/>
        </w:rPr>
      </w:pPr>
      <w:r w:rsidRPr="003D6B6C">
        <w:rPr>
          <w:rFonts w:ascii="Times New Roman" w:hAnsi="Times New Roman"/>
          <w:bCs/>
          <w:sz w:val="22"/>
          <w:szCs w:val="22"/>
        </w:rPr>
        <w:t>25.2</w:t>
      </w:r>
      <w:r w:rsidRPr="003D6B6C">
        <w:rPr>
          <w:rFonts w:ascii="Times New Roman" w:hAnsi="Times New Roman"/>
          <w:bCs/>
          <w:sz w:val="22"/>
          <w:szCs w:val="22"/>
        </w:rPr>
        <w:tab/>
      </w:r>
      <w:r w:rsidR="000270F2" w:rsidRPr="005C2004">
        <w:rPr>
          <w:rFonts w:ascii="Times New Roman" w:hAnsi="Times New Roman"/>
          <w:bCs/>
          <w:sz w:val="22"/>
          <w:szCs w:val="22"/>
        </w:rPr>
        <w:t>The supplies shall be packaged and delivered to the locations as stated in Annex II.</w:t>
      </w:r>
    </w:p>
    <w:p w14:paraId="072DD043" w14:textId="77777777" w:rsidR="000270F2" w:rsidRPr="00D341B7" w:rsidRDefault="000270F2" w:rsidP="00D341B7">
      <w:pPr>
        <w:ind w:left="709" w:hanging="709"/>
        <w:jc w:val="both"/>
        <w:rPr>
          <w:rFonts w:ascii="Times New Roman" w:hAnsi="Times New Roman"/>
          <w:sz w:val="22"/>
          <w:szCs w:val="22"/>
        </w:rPr>
      </w:pPr>
      <w:r w:rsidRPr="005C2004">
        <w:rPr>
          <w:rFonts w:ascii="Times New Roman" w:hAnsi="Times New Roman"/>
          <w:bCs/>
          <w:sz w:val="22"/>
          <w:szCs w:val="22"/>
        </w:rPr>
        <w:tab/>
      </w:r>
      <w:r w:rsidRPr="00D341B7">
        <w:rPr>
          <w:rFonts w:ascii="Times New Roman" w:hAnsi="Times New Roman"/>
          <w:sz w:val="22"/>
          <w:szCs w:val="22"/>
        </w:rPr>
        <w:t>The Contractor shall furnish, install and commission all equipment, fittings and fixings, including final installation and connection and all miscellaneous items of equipment, fixings and fittings in order that the supplies are left in place fully operational and ready for use. The cost of consumables used during installation and commissioning and for running time, before provisional acceptance, shall be borne totally by the Contractor.</w:t>
      </w:r>
    </w:p>
    <w:p w14:paraId="039B5ADB" w14:textId="77777777" w:rsidR="000270F2" w:rsidRPr="00D341B7" w:rsidRDefault="000270F2" w:rsidP="00D341B7">
      <w:pPr>
        <w:ind w:left="709" w:hanging="709"/>
        <w:jc w:val="both"/>
        <w:rPr>
          <w:rFonts w:ascii="Times New Roman" w:hAnsi="Times New Roman"/>
          <w:sz w:val="22"/>
          <w:szCs w:val="22"/>
        </w:rPr>
      </w:pPr>
      <w:r w:rsidRPr="00D341B7">
        <w:rPr>
          <w:rFonts w:ascii="Times New Roman" w:hAnsi="Times New Roman"/>
          <w:sz w:val="22"/>
          <w:szCs w:val="22"/>
        </w:rPr>
        <w:tab/>
        <w:t xml:space="preserve">It shall be the sole responsibility of the Contractor to check all site dimensions for completeness and accuracy of placement before commencement of delivery and all occasions for delay. </w:t>
      </w:r>
    </w:p>
    <w:p w14:paraId="79F94617" w14:textId="345F687A" w:rsidR="000270F2" w:rsidRPr="003D6B6C" w:rsidRDefault="000270F2" w:rsidP="00D341B7">
      <w:pPr>
        <w:ind w:left="709" w:hanging="709"/>
        <w:jc w:val="both"/>
        <w:rPr>
          <w:rFonts w:ascii="Times New Roman" w:hAnsi="Times New Roman"/>
          <w:b/>
          <w:sz w:val="22"/>
          <w:szCs w:val="22"/>
        </w:rPr>
      </w:pPr>
      <w:r w:rsidRPr="00D341B7">
        <w:rPr>
          <w:rFonts w:ascii="Times New Roman" w:hAnsi="Times New Roman"/>
          <w:sz w:val="22"/>
          <w:szCs w:val="22"/>
        </w:rPr>
        <w:tab/>
        <w:t>The cost of these activities shall be contained in the overall price of the supplies. The</w:t>
      </w:r>
      <w:r w:rsidRPr="005C2004">
        <w:rPr>
          <w:rFonts w:ascii="Times New Roman" w:hAnsi="Times New Roman"/>
          <w:bCs/>
          <w:sz w:val="22"/>
          <w:szCs w:val="22"/>
        </w:rPr>
        <w:t xml:space="preserve"> testing shall be done within </w:t>
      </w:r>
      <w:r w:rsidRPr="00F26008">
        <w:rPr>
          <w:rFonts w:ascii="Times New Roman" w:hAnsi="Times New Roman"/>
          <w:bCs/>
          <w:sz w:val="22"/>
          <w:szCs w:val="22"/>
        </w:rPr>
        <w:t>5 (five)</w:t>
      </w:r>
      <w:r w:rsidRPr="005C2004">
        <w:rPr>
          <w:rFonts w:ascii="Times New Roman" w:hAnsi="Times New Roman"/>
          <w:bCs/>
          <w:sz w:val="22"/>
          <w:szCs w:val="22"/>
        </w:rPr>
        <w:t xml:space="preserve"> days after the installation of the equipment</w:t>
      </w:r>
      <w:r w:rsidR="00F26008">
        <w:rPr>
          <w:rFonts w:ascii="Times New Roman" w:hAnsi="Times New Roman"/>
          <w:bCs/>
          <w:sz w:val="22"/>
          <w:szCs w:val="22"/>
        </w:rPr>
        <w:t xml:space="preserve">, </w:t>
      </w:r>
      <w:r w:rsidR="00F26008">
        <w:rPr>
          <w:rFonts w:ascii="Times New Roman" w:hAnsi="Times New Roman"/>
          <w:kern w:val="1"/>
          <w:sz w:val="22"/>
          <w:szCs w:val="22"/>
          <w:lang w:eastAsia="ar-SA"/>
        </w:rPr>
        <w:t>in the presence of representatives of the end users.</w:t>
      </w:r>
    </w:p>
    <w:p w14:paraId="6B02EBF2" w14:textId="10844A8F" w:rsidR="0047783A" w:rsidRPr="003D6B6C" w:rsidRDefault="0047783A" w:rsidP="005D03AA">
      <w:pPr>
        <w:ind w:left="1134" w:hanging="709"/>
        <w:jc w:val="both"/>
        <w:rPr>
          <w:rFonts w:ascii="Times New Roman" w:hAnsi="Times New Roman"/>
          <w:b/>
          <w:sz w:val="22"/>
          <w:szCs w:val="22"/>
        </w:rPr>
      </w:pPr>
    </w:p>
    <w:p w14:paraId="6A228C09" w14:textId="77777777" w:rsidR="0047783A" w:rsidRPr="003D6B6C" w:rsidRDefault="0047783A" w:rsidP="00B34179">
      <w:pPr>
        <w:spacing w:before="240"/>
        <w:ind w:left="1134" w:hanging="1134"/>
        <w:jc w:val="both"/>
        <w:rPr>
          <w:rFonts w:ascii="Times New Roman" w:hAnsi="Times New Roman"/>
          <w:b/>
          <w:sz w:val="24"/>
          <w:szCs w:val="24"/>
        </w:rPr>
      </w:pPr>
      <w:bookmarkStart w:id="18" w:name="_Toc124934912"/>
      <w:r w:rsidRPr="003D6B6C">
        <w:rPr>
          <w:rFonts w:ascii="Times New Roman" w:hAnsi="Times New Roman"/>
          <w:b/>
          <w:sz w:val="24"/>
          <w:szCs w:val="24"/>
        </w:rPr>
        <w:t>Article 26</w:t>
      </w:r>
      <w:r w:rsidRPr="003D6B6C">
        <w:rPr>
          <w:rFonts w:ascii="Times New Roman" w:hAnsi="Times New Roman"/>
          <w:b/>
          <w:sz w:val="24"/>
          <w:szCs w:val="24"/>
        </w:rPr>
        <w:tab/>
      </w:r>
      <w:bookmarkEnd w:id="18"/>
      <w:r w:rsidR="005B0129" w:rsidRPr="003D6B6C">
        <w:rPr>
          <w:rFonts w:ascii="Times New Roman" w:hAnsi="Times New Roman"/>
          <w:b/>
          <w:sz w:val="24"/>
          <w:szCs w:val="24"/>
        </w:rPr>
        <w:t>General principles for payments</w:t>
      </w:r>
    </w:p>
    <w:p w14:paraId="4A632F7A" w14:textId="1FC2A706" w:rsidR="0047783A" w:rsidRPr="003D6B6C" w:rsidRDefault="0047783A" w:rsidP="005D03AA">
      <w:pPr>
        <w:tabs>
          <w:tab w:val="right" w:pos="9885"/>
        </w:tabs>
        <w:ind w:left="1134" w:hanging="709"/>
        <w:jc w:val="both"/>
        <w:rPr>
          <w:rFonts w:ascii="Times New Roman" w:hAnsi="Times New Roman"/>
          <w:sz w:val="22"/>
          <w:szCs w:val="22"/>
        </w:rPr>
      </w:pPr>
      <w:r w:rsidRPr="003D6B6C">
        <w:rPr>
          <w:rFonts w:ascii="Times New Roman" w:hAnsi="Times New Roman"/>
          <w:sz w:val="22"/>
          <w:szCs w:val="22"/>
        </w:rPr>
        <w:t>26.1</w:t>
      </w:r>
      <w:r w:rsidRPr="003D6B6C">
        <w:rPr>
          <w:rFonts w:ascii="Times New Roman" w:hAnsi="Times New Roman"/>
          <w:sz w:val="22"/>
          <w:szCs w:val="22"/>
        </w:rPr>
        <w:tab/>
        <w:t xml:space="preserve">Payments </w:t>
      </w:r>
      <w:r w:rsidR="005B0129" w:rsidRPr="003D6B6C">
        <w:rPr>
          <w:rFonts w:ascii="Times New Roman" w:hAnsi="Times New Roman"/>
          <w:sz w:val="22"/>
          <w:szCs w:val="22"/>
        </w:rPr>
        <w:t xml:space="preserve">shall </w:t>
      </w:r>
      <w:r w:rsidRPr="003D6B6C">
        <w:rPr>
          <w:rFonts w:ascii="Times New Roman" w:hAnsi="Times New Roman"/>
          <w:sz w:val="22"/>
          <w:szCs w:val="22"/>
        </w:rPr>
        <w:t>be made in</w:t>
      </w:r>
      <w:r w:rsidR="0049293D">
        <w:rPr>
          <w:rFonts w:ascii="Times New Roman" w:hAnsi="Times New Roman"/>
          <w:sz w:val="22"/>
          <w:szCs w:val="22"/>
        </w:rPr>
        <w:t xml:space="preserve"> </w:t>
      </w:r>
      <w:r w:rsidRPr="00A65F76">
        <w:rPr>
          <w:rFonts w:ascii="Times New Roman" w:hAnsi="Times New Roman"/>
          <w:sz w:val="22"/>
          <w:szCs w:val="22"/>
        </w:rPr>
        <w:t>euro</w:t>
      </w:r>
      <w:r w:rsidR="00AB3AB0" w:rsidRPr="00A65F76">
        <w:rPr>
          <w:rFonts w:ascii="Times New Roman" w:hAnsi="Times New Roman"/>
          <w:sz w:val="22"/>
          <w:szCs w:val="22"/>
        </w:rPr>
        <w:t>s</w:t>
      </w:r>
      <w:r w:rsidR="0000334D">
        <w:rPr>
          <w:rFonts w:ascii="Times New Roman" w:hAnsi="Times New Roman"/>
          <w:sz w:val="22"/>
          <w:szCs w:val="22"/>
        </w:rPr>
        <w:t xml:space="preserve"> </w:t>
      </w:r>
    </w:p>
    <w:p w14:paraId="5A213EF9" w14:textId="77777777" w:rsidR="004A0895" w:rsidRPr="00E21DC0" w:rsidRDefault="004A0895" w:rsidP="004A0895">
      <w:pPr>
        <w:autoSpaceDE w:val="0"/>
        <w:autoSpaceDN w:val="0"/>
        <w:adjustRightInd w:val="0"/>
        <w:spacing w:before="0" w:after="240"/>
        <w:ind w:left="1170"/>
        <w:jc w:val="both"/>
        <w:rPr>
          <w:rFonts w:ascii="Times New Roman" w:hAnsi="Times New Roman"/>
          <w:snapToGrid/>
          <w:color w:val="000000"/>
          <w:sz w:val="22"/>
          <w:szCs w:val="22"/>
        </w:rPr>
      </w:pPr>
      <w:r w:rsidRPr="00E21DC0">
        <w:rPr>
          <w:rFonts w:ascii="Times New Roman" w:hAnsi="Times New Roman"/>
          <w:color w:val="000000"/>
          <w:sz w:val="22"/>
          <w:szCs w:val="22"/>
          <w:lang w:eastAsia="en-GB"/>
        </w:rPr>
        <w:t>According to the "Law on Payment Operations" and to the "Law on Foreign Exchange Operations" of the Beneficiary Country, all payments made by the Contracting Authority to the Contractors who are physical or legal persons established in the Beneficiary Country, shall be made in the national currency (MKD). The exchange rate applied for conversion of EUR in MKD for the payment of an invoice established in EUR, shall be the middle exchange rate of the National Bank of the Beneficiary Country (NBRM) applicable on the date of payment.</w:t>
      </w:r>
    </w:p>
    <w:p w14:paraId="4879C6A0" w14:textId="77777777" w:rsidR="004A0895" w:rsidRDefault="004A0895" w:rsidP="004A0895">
      <w:pPr>
        <w:pStyle w:val="ListNumber"/>
        <w:numPr>
          <w:ilvl w:val="0"/>
          <w:numId w:val="0"/>
        </w:numPr>
        <w:ind w:left="1170"/>
        <w:rPr>
          <w:color w:val="000000"/>
          <w:sz w:val="22"/>
          <w:szCs w:val="22"/>
        </w:rPr>
      </w:pPr>
      <w:r w:rsidRPr="00E21DC0">
        <w:rPr>
          <w:color w:val="000000"/>
          <w:sz w:val="22"/>
          <w:szCs w:val="22"/>
        </w:rPr>
        <w:t xml:space="preserve">The Contractor shall present the invoices in Euro. </w:t>
      </w:r>
    </w:p>
    <w:p w14:paraId="02C5BEBF" w14:textId="56E22204" w:rsidR="004A0895" w:rsidRDefault="004A0895" w:rsidP="00A65F76">
      <w:pPr>
        <w:pStyle w:val="ListNumber"/>
        <w:numPr>
          <w:ilvl w:val="0"/>
          <w:numId w:val="0"/>
        </w:numPr>
        <w:ind w:left="1170"/>
        <w:rPr>
          <w:sz w:val="22"/>
          <w:szCs w:val="22"/>
        </w:rPr>
      </w:pPr>
      <w:r w:rsidRPr="00E21DC0">
        <w:rPr>
          <w:sz w:val="22"/>
          <w:szCs w:val="22"/>
          <w:lang w:val="en-US"/>
        </w:rPr>
        <w:t>Payments</w:t>
      </w:r>
      <w:r w:rsidRPr="00E21DC0">
        <w:rPr>
          <w:sz w:val="22"/>
          <w:szCs w:val="22"/>
        </w:rPr>
        <w:t xml:space="preserve"> shall be authorised and made by the Contracting Authority</w:t>
      </w:r>
      <w:r w:rsidR="00F26008">
        <w:rPr>
          <w:sz w:val="22"/>
          <w:szCs w:val="22"/>
        </w:rPr>
        <w:t xml:space="preserve">, </w:t>
      </w:r>
      <w:r w:rsidR="00F26008" w:rsidRPr="00CC2CB6">
        <w:rPr>
          <w:sz w:val="22"/>
          <w:szCs w:val="22"/>
        </w:rPr>
        <w:t>Depart</w:t>
      </w:r>
      <w:r w:rsidR="00F26008">
        <w:rPr>
          <w:sz w:val="22"/>
          <w:szCs w:val="22"/>
        </w:rPr>
        <w:t>m</w:t>
      </w:r>
      <w:r w:rsidR="00F26008" w:rsidRPr="00CC2CB6">
        <w:rPr>
          <w:sz w:val="22"/>
          <w:szCs w:val="22"/>
        </w:rPr>
        <w:t>ent of Financial Affairs</w:t>
      </w:r>
      <w:r w:rsidR="00F26008">
        <w:rPr>
          <w:sz w:val="22"/>
          <w:szCs w:val="22"/>
        </w:rPr>
        <w:t xml:space="preserve"> within</w:t>
      </w:r>
      <w:r w:rsidRPr="004A0895">
        <w:rPr>
          <w:sz w:val="22"/>
          <w:szCs w:val="22"/>
          <w:lang w:val="en-US"/>
        </w:rPr>
        <w:t xml:space="preserve"> </w:t>
      </w:r>
      <w:r>
        <w:rPr>
          <w:sz w:val="22"/>
          <w:szCs w:val="22"/>
          <w:lang w:val="en-US"/>
        </w:rPr>
        <w:t>Ministry of Environment and Physical Planning</w:t>
      </w:r>
      <w:r w:rsidRPr="00E21DC0">
        <w:rPr>
          <w:sz w:val="22"/>
          <w:szCs w:val="22"/>
        </w:rPr>
        <w:t xml:space="preserve">, </w:t>
      </w:r>
      <w:r w:rsidRPr="00532398">
        <w:rPr>
          <w:sz w:val="22"/>
          <w:szCs w:val="22"/>
        </w:rPr>
        <w:t>Square Presveta Bogorodica no. 3</w:t>
      </w:r>
      <w:r>
        <w:rPr>
          <w:sz w:val="22"/>
          <w:szCs w:val="22"/>
        </w:rPr>
        <w:t>,</w:t>
      </w:r>
      <w:r w:rsidR="00F26008">
        <w:rPr>
          <w:sz w:val="22"/>
          <w:szCs w:val="22"/>
        </w:rPr>
        <w:t xml:space="preserve"> </w:t>
      </w:r>
      <w:r w:rsidRPr="00532398">
        <w:rPr>
          <w:sz w:val="22"/>
          <w:szCs w:val="22"/>
        </w:rPr>
        <w:t>1000 Skopje, Republic of North Macedonia</w:t>
      </w:r>
      <w:r w:rsidRPr="00E21DC0">
        <w:rPr>
          <w:sz w:val="22"/>
          <w:szCs w:val="22"/>
        </w:rPr>
        <w:t>.</w:t>
      </w:r>
    </w:p>
    <w:p w14:paraId="0362E12E" w14:textId="79800A9E" w:rsidR="006D5CEE" w:rsidRPr="003D6B6C" w:rsidRDefault="006D5CEE" w:rsidP="00D87E38">
      <w:pPr>
        <w:ind w:left="1134" w:hanging="709"/>
        <w:jc w:val="both"/>
        <w:rPr>
          <w:rFonts w:ascii="Times New Roman" w:hAnsi="Times New Roman"/>
          <w:sz w:val="22"/>
          <w:szCs w:val="22"/>
        </w:rPr>
      </w:pPr>
      <w:r w:rsidRPr="003D6B6C">
        <w:rPr>
          <w:rFonts w:ascii="Times New Roman" w:hAnsi="Times New Roman"/>
          <w:sz w:val="22"/>
          <w:szCs w:val="22"/>
        </w:rPr>
        <w:t>26.3</w:t>
      </w:r>
      <w:r w:rsidRPr="003D6B6C">
        <w:rPr>
          <w:rFonts w:ascii="Times New Roman" w:hAnsi="Times New Roman"/>
          <w:sz w:val="22"/>
          <w:szCs w:val="22"/>
        </w:rPr>
        <w:tab/>
      </w:r>
      <w:r w:rsidR="00154F15" w:rsidRPr="00F26008">
        <w:rPr>
          <w:rFonts w:ascii="Times New Roman" w:hAnsi="Times New Roman"/>
          <w:sz w:val="22"/>
          <w:szCs w:val="22"/>
        </w:rPr>
        <w:t xml:space="preserve">By derogation, the final payment to the </w:t>
      </w:r>
      <w:r w:rsidR="00F60098" w:rsidRPr="00F26008">
        <w:rPr>
          <w:rFonts w:ascii="Times New Roman" w:hAnsi="Times New Roman"/>
          <w:sz w:val="22"/>
          <w:szCs w:val="22"/>
        </w:rPr>
        <w:t>c</w:t>
      </w:r>
      <w:r w:rsidR="00154F15" w:rsidRPr="00F26008">
        <w:rPr>
          <w:rFonts w:ascii="Times New Roman" w:hAnsi="Times New Roman"/>
          <w:sz w:val="22"/>
          <w:szCs w:val="22"/>
        </w:rPr>
        <w:t xml:space="preserve">ontractor of the amounts due shall be made within 45 days following provisional acceptance of the goods, after receipt by the </w:t>
      </w:r>
      <w:r w:rsidR="00F60098" w:rsidRPr="00F26008">
        <w:rPr>
          <w:rFonts w:ascii="Times New Roman" w:hAnsi="Times New Roman"/>
          <w:sz w:val="22"/>
          <w:szCs w:val="22"/>
        </w:rPr>
        <w:t>c</w:t>
      </w:r>
      <w:r w:rsidR="00154F15" w:rsidRPr="00F26008">
        <w:rPr>
          <w:rFonts w:ascii="Times New Roman" w:hAnsi="Times New Roman"/>
          <w:sz w:val="22"/>
          <w:szCs w:val="22"/>
        </w:rPr>
        <w:t xml:space="preserve">ontracting </w:t>
      </w:r>
      <w:r w:rsidR="00F60098" w:rsidRPr="00F26008">
        <w:rPr>
          <w:rFonts w:ascii="Times New Roman" w:hAnsi="Times New Roman"/>
          <w:sz w:val="22"/>
          <w:szCs w:val="22"/>
        </w:rPr>
        <w:t>a</w:t>
      </w:r>
      <w:r w:rsidR="00154F15" w:rsidRPr="00F26008">
        <w:rPr>
          <w:rFonts w:ascii="Times New Roman" w:hAnsi="Times New Roman"/>
          <w:sz w:val="22"/>
          <w:szCs w:val="22"/>
        </w:rPr>
        <w:t>uthority of an admissible invoice.</w:t>
      </w:r>
    </w:p>
    <w:p w14:paraId="635F0EA4" w14:textId="77777777" w:rsidR="001B4DA9" w:rsidRPr="003D6B6C" w:rsidRDefault="00E87734" w:rsidP="005D03AA">
      <w:pPr>
        <w:ind w:left="1134" w:hanging="709"/>
        <w:jc w:val="both"/>
        <w:rPr>
          <w:rFonts w:ascii="Times New Roman" w:hAnsi="Times New Roman"/>
          <w:sz w:val="22"/>
          <w:szCs w:val="22"/>
        </w:rPr>
      </w:pPr>
      <w:r w:rsidRPr="003D6B6C">
        <w:rPr>
          <w:rFonts w:ascii="Times New Roman" w:hAnsi="Times New Roman"/>
          <w:sz w:val="22"/>
          <w:szCs w:val="22"/>
        </w:rPr>
        <w:t>26.</w:t>
      </w:r>
      <w:r w:rsidR="00035D61" w:rsidRPr="003D6B6C">
        <w:rPr>
          <w:rFonts w:ascii="Times New Roman" w:hAnsi="Times New Roman"/>
          <w:sz w:val="22"/>
          <w:szCs w:val="22"/>
        </w:rPr>
        <w:t>5</w:t>
      </w:r>
      <w:r w:rsidR="0047783A" w:rsidRPr="003D6B6C">
        <w:rPr>
          <w:rFonts w:ascii="Times New Roman" w:hAnsi="Times New Roman"/>
          <w:sz w:val="22"/>
          <w:szCs w:val="22"/>
        </w:rPr>
        <w:tab/>
        <w:t xml:space="preserve">In order to obtain payments, the </w:t>
      </w:r>
      <w:r w:rsidR="00F60098">
        <w:rPr>
          <w:rFonts w:ascii="Times New Roman" w:hAnsi="Times New Roman"/>
          <w:sz w:val="22"/>
          <w:szCs w:val="22"/>
        </w:rPr>
        <w:t>c</w:t>
      </w:r>
      <w:r w:rsidR="0047783A" w:rsidRPr="003D6B6C">
        <w:rPr>
          <w:rFonts w:ascii="Times New Roman" w:hAnsi="Times New Roman"/>
          <w:sz w:val="22"/>
          <w:szCs w:val="22"/>
        </w:rPr>
        <w:t>ontractor must forward to the authority referred to in paragraph 26.1 above:</w:t>
      </w:r>
    </w:p>
    <w:p w14:paraId="50C18969" w14:textId="4AE04B4A" w:rsidR="00E87734" w:rsidRPr="00CB6BA1" w:rsidRDefault="00035D61" w:rsidP="00B9316C">
      <w:pPr>
        <w:ind w:left="1560" w:hanging="426"/>
        <w:jc w:val="both"/>
        <w:rPr>
          <w:rFonts w:ascii="Times New Roman" w:hAnsi="Times New Roman"/>
          <w:sz w:val="22"/>
          <w:szCs w:val="22"/>
        </w:rPr>
      </w:pPr>
      <w:r w:rsidRPr="003D6B6C">
        <w:rPr>
          <w:rFonts w:ascii="Times New Roman" w:hAnsi="Times New Roman"/>
          <w:sz w:val="22"/>
          <w:szCs w:val="22"/>
        </w:rPr>
        <w:t>a)</w:t>
      </w:r>
      <w:r w:rsidRPr="003D6B6C">
        <w:rPr>
          <w:rFonts w:ascii="Times New Roman" w:hAnsi="Times New Roman"/>
          <w:b/>
          <w:sz w:val="22"/>
          <w:szCs w:val="22"/>
        </w:rPr>
        <w:tab/>
      </w:r>
      <w:r w:rsidR="006219A1" w:rsidRPr="00CB6BA1">
        <w:rPr>
          <w:rFonts w:ascii="Times New Roman" w:hAnsi="Times New Roman"/>
          <w:sz w:val="22"/>
          <w:szCs w:val="22"/>
        </w:rPr>
        <w:t xml:space="preserve">For the 40% pre-financing, </w:t>
      </w:r>
      <w:r w:rsidR="006219A1" w:rsidRPr="00CB6BA1">
        <w:rPr>
          <w:rFonts w:ascii="Times New Roman" w:hAnsi="Times New Roman"/>
          <w:bCs/>
          <w:sz w:val="22"/>
          <w:szCs w:val="22"/>
        </w:rPr>
        <w:t>the pre-financing guarantee</w:t>
      </w:r>
      <w:r w:rsidR="00AC0C72" w:rsidRPr="00CB6BA1">
        <w:rPr>
          <w:rFonts w:ascii="Times New Roman" w:hAnsi="Times New Roman"/>
          <w:bCs/>
          <w:sz w:val="22"/>
          <w:szCs w:val="22"/>
        </w:rPr>
        <w:t>:</w:t>
      </w:r>
      <w:r w:rsidR="00E87734" w:rsidRPr="00CB6BA1">
        <w:rPr>
          <w:rFonts w:ascii="Times New Roman" w:hAnsi="Times New Roman"/>
          <w:bCs/>
          <w:sz w:val="22"/>
          <w:szCs w:val="22"/>
        </w:rPr>
        <w:t xml:space="preserve"> </w:t>
      </w:r>
    </w:p>
    <w:p w14:paraId="5AB41BA7" w14:textId="799D9496" w:rsidR="00E87734" w:rsidRPr="003D6B6C" w:rsidRDefault="00F671B9" w:rsidP="0011156A">
      <w:pPr>
        <w:spacing w:before="0" w:after="0"/>
        <w:ind w:left="1985"/>
        <w:jc w:val="both"/>
        <w:rPr>
          <w:rFonts w:ascii="Times New Roman" w:hAnsi="Times New Roman"/>
          <w:bCs/>
          <w:sz w:val="22"/>
          <w:szCs w:val="22"/>
        </w:rPr>
      </w:pPr>
      <w:r w:rsidRPr="00CB6BA1">
        <w:rPr>
          <w:rFonts w:ascii="Times New Roman" w:hAnsi="Times New Roman"/>
          <w:sz w:val="22"/>
          <w:szCs w:val="22"/>
        </w:rPr>
        <w:t>When</w:t>
      </w:r>
      <w:r w:rsidR="00E87734" w:rsidRPr="00CB6BA1">
        <w:rPr>
          <w:rFonts w:ascii="Times New Roman" w:hAnsi="Times New Roman"/>
          <w:bCs/>
          <w:sz w:val="22"/>
          <w:szCs w:val="22"/>
        </w:rPr>
        <w:t xml:space="preserve"> </w:t>
      </w:r>
      <w:r w:rsidR="00F75F46" w:rsidRPr="00CB6BA1">
        <w:rPr>
          <w:rFonts w:ascii="Times New Roman" w:hAnsi="Times New Roman"/>
          <w:bCs/>
          <w:sz w:val="22"/>
          <w:szCs w:val="22"/>
        </w:rPr>
        <w:t xml:space="preserve">(i) </w:t>
      </w:r>
      <w:r w:rsidR="00E87734" w:rsidRPr="00CB6BA1">
        <w:rPr>
          <w:rFonts w:ascii="Times New Roman" w:hAnsi="Times New Roman"/>
          <w:bCs/>
          <w:sz w:val="22"/>
          <w:szCs w:val="22"/>
        </w:rPr>
        <w:t xml:space="preserve">the pre-financing requested is equal or below EUR 300 000 </w:t>
      </w:r>
      <w:r w:rsidR="00F75F46" w:rsidRPr="00CB6BA1">
        <w:rPr>
          <w:rFonts w:ascii="Times New Roman" w:hAnsi="Times New Roman"/>
          <w:b/>
          <w:bCs/>
          <w:sz w:val="22"/>
          <w:szCs w:val="22"/>
        </w:rPr>
        <w:t>and</w:t>
      </w:r>
      <w:r w:rsidR="00F75F46" w:rsidRPr="00CB6BA1">
        <w:rPr>
          <w:rFonts w:ascii="Times New Roman" w:hAnsi="Times New Roman"/>
          <w:bCs/>
          <w:sz w:val="22"/>
          <w:szCs w:val="22"/>
        </w:rPr>
        <w:t xml:space="preserve"> (ii) </w:t>
      </w:r>
      <w:r w:rsidR="00E87734" w:rsidRPr="00CB6BA1">
        <w:rPr>
          <w:rFonts w:ascii="Times New Roman" w:hAnsi="Times New Roman"/>
          <w:bCs/>
          <w:sz w:val="22"/>
          <w:szCs w:val="22"/>
        </w:rPr>
        <w:t xml:space="preserve">the </w:t>
      </w:r>
      <w:r w:rsidR="00F60098" w:rsidRPr="00CB6BA1">
        <w:rPr>
          <w:rFonts w:ascii="Times New Roman" w:hAnsi="Times New Roman"/>
          <w:bCs/>
          <w:sz w:val="22"/>
          <w:szCs w:val="22"/>
        </w:rPr>
        <w:t>c</w:t>
      </w:r>
      <w:r w:rsidR="00E87734" w:rsidRPr="00CB6BA1">
        <w:rPr>
          <w:rFonts w:ascii="Times New Roman" w:hAnsi="Times New Roman"/>
          <w:bCs/>
          <w:sz w:val="22"/>
          <w:szCs w:val="22"/>
        </w:rPr>
        <w:t xml:space="preserve">ontracting </w:t>
      </w:r>
      <w:r w:rsidR="00F60098" w:rsidRPr="00CB6BA1">
        <w:rPr>
          <w:rFonts w:ascii="Times New Roman" w:hAnsi="Times New Roman"/>
          <w:bCs/>
          <w:sz w:val="22"/>
          <w:szCs w:val="22"/>
        </w:rPr>
        <w:t>a</w:t>
      </w:r>
      <w:r w:rsidR="00E87734" w:rsidRPr="00CB6BA1">
        <w:rPr>
          <w:rFonts w:ascii="Times New Roman" w:hAnsi="Times New Roman"/>
          <w:bCs/>
          <w:sz w:val="22"/>
          <w:szCs w:val="22"/>
        </w:rPr>
        <w:t xml:space="preserve">uthority </w:t>
      </w:r>
      <w:r w:rsidR="00F75F46" w:rsidRPr="00CB6BA1">
        <w:rPr>
          <w:rFonts w:ascii="Times New Roman" w:hAnsi="Times New Roman"/>
          <w:bCs/>
          <w:sz w:val="22"/>
          <w:szCs w:val="22"/>
        </w:rPr>
        <w:t xml:space="preserve">does not </w:t>
      </w:r>
      <w:r w:rsidR="00E87734" w:rsidRPr="00CB6BA1">
        <w:rPr>
          <w:rFonts w:ascii="Times New Roman" w:hAnsi="Times New Roman"/>
          <w:bCs/>
          <w:sz w:val="22"/>
          <w:szCs w:val="22"/>
        </w:rPr>
        <w:t xml:space="preserve">require a financial guarantee </w:t>
      </w:r>
      <w:r w:rsidR="00E87734" w:rsidRPr="00CB6BA1">
        <w:rPr>
          <w:rFonts w:ascii="Times New Roman" w:hAnsi="Times New Roman"/>
          <w:bCs/>
          <w:sz w:val="22"/>
          <w:szCs w:val="22"/>
        </w:rPr>
        <w:lastRenderedPageBreak/>
        <w:t>following a risk assessment</w:t>
      </w:r>
      <w:r w:rsidR="00F0405C" w:rsidRPr="00CB6BA1">
        <w:rPr>
          <w:rStyle w:val="FootnoteReference"/>
          <w:rFonts w:ascii="Times New Roman" w:hAnsi="Times New Roman"/>
          <w:bCs/>
          <w:sz w:val="22"/>
          <w:szCs w:val="22"/>
        </w:rPr>
        <w:footnoteReference w:id="1"/>
      </w:r>
      <w:r w:rsidR="00695007" w:rsidRPr="00CB6BA1">
        <w:rPr>
          <w:rFonts w:ascii="Times New Roman" w:hAnsi="Times New Roman"/>
          <w:bCs/>
          <w:sz w:val="22"/>
          <w:szCs w:val="22"/>
        </w:rPr>
        <w:t>, b</w:t>
      </w:r>
      <w:r w:rsidR="00E87734" w:rsidRPr="00CB6BA1">
        <w:rPr>
          <w:rFonts w:ascii="Times New Roman" w:hAnsi="Times New Roman"/>
          <w:bCs/>
          <w:sz w:val="22"/>
          <w:szCs w:val="22"/>
        </w:rPr>
        <w:t xml:space="preserve">y derogation </w:t>
      </w:r>
      <w:r w:rsidR="001207A4" w:rsidRPr="00CB6BA1">
        <w:rPr>
          <w:rFonts w:ascii="Times New Roman" w:hAnsi="Times New Roman"/>
          <w:bCs/>
          <w:sz w:val="22"/>
          <w:szCs w:val="22"/>
        </w:rPr>
        <w:t>from</w:t>
      </w:r>
      <w:r w:rsidR="00E87734" w:rsidRPr="00CB6BA1">
        <w:rPr>
          <w:rFonts w:ascii="Times New Roman" w:hAnsi="Times New Roman"/>
          <w:bCs/>
          <w:sz w:val="22"/>
          <w:szCs w:val="22"/>
        </w:rPr>
        <w:t xml:space="preserve"> article </w:t>
      </w:r>
      <w:r w:rsidR="001207A4" w:rsidRPr="00CB6BA1">
        <w:rPr>
          <w:rFonts w:ascii="Times New Roman" w:hAnsi="Times New Roman"/>
          <w:sz w:val="22"/>
          <w:szCs w:val="22"/>
        </w:rPr>
        <w:t xml:space="preserve">26.5 of the </w:t>
      </w:r>
      <w:r w:rsidR="00F60098" w:rsidRPr="00CB6BA1">
        <w:rPr>
          <w:rFonts w:ascii="Times New Roman" w:hAnsi="Times New Roman"/>
          <w:sz w:val="22"/>
          <w:szCs w:val="22"/>
        </w:rPr>
        <w:t>g</w:t>
      </w:r>
      <w:r w:rsidR="001207A4" w:rsidRPr="00CB6BA1">
        <w:rPr>
          <w:rFonts w:ascii="Times New Roman" w:hAnsi="Times New Roman"/>
          <w:sz w:val="22"/>
          <w:szCs w:val="22"/>
        </w:rPr>
        <w:t xml:space="preserve">eneral </w:t>
      </w:r>
      <w:r w:rsidR="00F60098" w:rsidRPr="00CB6BA1">
        <w:rPr>
          <w:rFonts w:ascii="Times New Roman" w:hAnsi="Times New Roman"/>
          <w:sz w:val="22"/>
          <w:szCs w:val="22"/>
        </w:rPr>
        <w:t>c</w:t>
      </w:r>
      <w:r w:rsidR="001207A4" w:rsidRPr="00CB6BA1">
        <w:rPr>
          <w:rFonts w:ascii="Times New Roman" w:hAnsi="Times New Roman"/>
          <w:sz w:val="22"/>
          <w:szCs w:val="22"/>
        </w:rPr>
        <w:t xml:space="preserve">onditions </w:t>
      </w:r>
      <w:r w:rsidR="00E87734" w:rsidRPr="00CB6BA1">
        <w:rPr>
          <w:rFonts w:ascii="Times New Roman" w:hAnsi="Times New Roman"/>
          <w:bCs/>
          <w:sz w:val="22"/>
          <w:szCs w:val="22"/>
        </w:rPr>
        <w:t>no pre-financing guarantee is required</w:t>
      </w:r>
      <w:r w:rsidR="008214E2" w:rsidRPr="00CB6BA1">
        <w:rPr>
          <w:rFonts w:ascii="Times New Roman" w:hAnsi="Times New Roman"/>
          <w:bCs/>
          <w:sz w:val="22"/>
          <w:szCs w:val="22"/>
        </w:rPr>
        <w:t>.</w:t>
      </w:r>
    </w:p>
    <w:p w14:paraId="4A95B9EC" w14:textId="144500CF" w:rsidR="0047783A" w:rsidRPr="003D6B6C" w:rsidRDefault="0047783A" w:rsidP="00035D61">
      <w:pPr>
        <w:spacing w:after="0"/>
        <w:ind w:left="1559" w:hanging="425"/>
        <w:jc w:val="both"/>
        <w:rPr>
          <w:rFonts w:ascii="Times New Roman" w:hAnsi="Times New Roman"/>
          <w:sz w:val="22"/>
          <w:szCs w:val="22"/>
        </w:rPr>
      </w:pPr>
      <w:r w:rsidRPr="003D6B6C">
        <w:rPr>
          <w:rFonts w:ascii="Times New Roman" w:hAnsi="Times New Roman"/>
          <w:sz w:val="22"/>
          <w:szCs w:val="22"/>
        </w:rPr>
        <w:t>b)</w:t>
      </w:r>
      <w:r w:rsidRPr="003D6B6C">
        <w:rPr>
          <w:rFonts w:ascii="Times New Roman" w:hAnsi="Times New Roman"/>
          <w:b/>
          <w:sz w:val="22"/>
          <w:szCs w:val="22"/>
        </w:rPr>
        <w:tab/>
      </w:r>
      <w:r w:rsidRPr="003D6B6C">
        <w:rPr>
          <w:rFonts w:ascii="Times New Roman" w:hAnsi="Times New Roman"/>
          <w:sz w:val="22"/>
          <w:szCs w:val="22"/>
        </w:rPr>
        <w:t xml:space="preserve">For the </w:t>
      </w:r>
      <w:r w:rsidR="00441859" w:rsidRPr="003D6B6C">
        <w:rPr>
          <w:rFonts w:ascii="Times New Roman" w:hAnsi="Times New Roman"/>
          <w:sz w:val="22"/>
          <w:szCs w:val="22"/>
        </w:rPr>
        <w:t>6</w:t>
      </w:r>
      <w:r w:rsidRPr="003D6B6C">
        <w:rPr>
          <w:rFonts w:ascii="Times New Roman" w:hAnsi="Times New Roman"/>
          <w:sz w:val="22"/>
          <w:szCs w:val="22"/>
        </w:rPr>
        <w:t>0</w:t>
      </w:r>
      <w:r w:rsidR="006A5F84" w:rsidRPr="003D6B6C">
        <w:rPr>
          <w:rFonts w:ascii="Times New Roman" w:hAnsi="Times New Roman"/>
          <w:w w:val="50"/>
          <w:sz w:val="22"/>
          <w:szCs w:val="22"/>
        </w:rPr>
        <w:t> </w:t>
      </w:r>
      <w:r w:rsidRPr="003D6B6C">
        <w:rPr>
          <w:rFonts w:ascii="Times New Roman" w:hAnsi="Times New Roman"/>
          <w:sz w:val="22"/>
          <w:szCs w:val="22"/>
        </w:rPr>
        <w:t xml:space="preserve">% balance, the invoice(s) </w:t>
      </w:r>
      <w:r w:rsidRPr="00A65F76">
        <w:rPr>
          <w:rFonts w:ascii="Times New Roman" w:hAnsi="Times New Roman"/>
          <w:sz w:val="22"/>
          <w:szCs w:val="22"/>
        </w:rPr>
        <w:t>in triplicate</w:t>
      </w:r>
      <w:r w:rsidRPr="003D6B6C">
        <w:rPr>
          <w:rFonts w:ascii="Times New Roman" w:hAnsi="Times New Roman"/>
          <w:sz w:val="22"/>
          <w:szCs w:val="22"/>
        </w:rPr>
        <w:t xml:space="preserve"> </w:t>
      </w:r>
      <w:r w:rsidR="00925DBE" w:rsidRPr="003D6B6C">
        <w:rPr>
          <w:rFonts w:ascii="Times New Roman" w:hAnsi="Times New Roman"/>
          <w:sz w:val="22"/>
          <w:szCs w:val="22"/>
        </w:rPr>
        <w:t xml:space="preserve">together with the request for </w:t>
      </w:r>
      <w:r w:rsidRPr="003D6B6C">
        <w:rPr>
          <w:rFonts w:ascii="Times New Roman" w:hAnsi="Times New Roman"/>
          <w:sz w:val="22"/>
          <w:szCs w:val="22"/>
        </w:rPr>
        <w:t>provisional acceptance of the supplies.</w:t>
      </w:r>
    </w:p>
    <w:p w14:paraId="6D0A6DEB" w14:textId="7B2295D5" w:rsidR="0047783A" w:rsidRPr="003D6B6C" w:rsidRDefault="0047783A" w:rsidP="006B145B">
      <w:pPr>
        <w:tabs>
          <w:tab w:val="right" w:pos="9885"/>
        </w:tabs>
        <w:ind w:left="1134" w:hanging="709"/>
        <w:jc w:val="both"/>
        <w:rPr>
          <w:rFonts w:ascii="Times New Roman" w:hAnsi="Times New Roman"/>
          <w:b/>
          <w:sz w:val="22"/>
          <w:szCs w:val="22"/>
        </w:rPr>
      </w:pPr>
      <w:r w:rsidRPr="003D6B6C">
        <w:rPr>
          <w:rFonts w:ascii="Times New Roman" w:hAnsi="Times New Roman"/>
          <w:sz w:val="22"/>
          <w:szCs w:val="22"/>
        </w:rPr>
        <w:t>26.9</w:t>
      </w:r>
      <w:r w:rsidRPr="003D6B6C">
        <w:rPr>
          <w:rFonts w:ascii="Times New Roman" w:hAnsi="Times New Roman"/>
          <w:b/>
          <w:sz w:val="22"/>
          <w:szCs w:val="22"/>
        </w:rPr>
        <w:tab/>
      </w:r>
      <w:r w:rsidR="004B6CB1" w:rsidRPr="00232C0C">
        <w:rPr>
          <w:rFonts w:ascii="Times New Roman" w:hAnsi="Times New Roman"/>
          <w:color w:val="000000"/>
          <w:sz w:val="22"/>
          <w:szCs w:val="22"/>
        </w:rPr>
        <w:t>The price of the Contract is fixed and will not be revised</w:t>
      </w:r>
    </w:p>
    <w:p w14:paraId="4427D2BF" w14:textId="77777777" w:rsidR="0047783A" w:rsidRPr="003D6B6C" w:rsidRDefault="0047783A" w:rsidP="00B34179">
      <w:pPr>
        <w:spacing w:before="240"/>
        <w:ind w:left="1134" w:hanging="1134"/>
        <w:jc w:val="both"/>
        <w:rPr>
          <w:rFonts w:ascii="Times New Roman" w:hAnsi="Times New Roman"/>
          <w:b/>
          <w:sz w:val="24"/>
          <w:szCs w:val="24"/>
        </w:rPr>
      </w:pPr>
      <w:bookmarkStart w:id="19" w:name="_Toc124934913"/>
      <w:r w:rsidRPr="003D6B6C">
        <w:rPr>
          <w:rFonts w:ascii="Times New Roman" w:hAnsi="Times New Roman"/>
          <w:b/>
          <w:sz w:val="24"/>
          <w:szCs w:val="24"/>
        </w:rPr>
        <w:t>Article 28</w:t>
      </w:r>
      <w:r w:rsidRPr="003D6B6C">
        <w:rPr>
          <w:rFonts w:ascii="Times New Roman" w:hAnsi="Times New Roman"/>
          <w:b/>
          <w:sz w:val="24"/>
          <w:szCs w:val="24"/>
        </w:rPr>
        <w:tab/>
        <w:t>Delayed payments</w:t>
      </w:r>
    </w:p>
    <w:p w14:paraId="38BAD61F" w14:textId="57229BCF" w:rsidR="0047783A" w:rsidRPr="003D6B6C" w:rsidRDefault="0047783A" w:rsidP="00AC0C72">
      <w:pPr>
        <w:autoSpaceDE w:val="0"/>
        <w:autoSpaceDN w:val="0"/>
        <w:adjustRightInd w:val="0"/>
        <w:ind w:left="1134" w:hanging="709"/>
        <w:jc w:val="both"/>
        <w:rPr>
          <w:rFonts w:ascii="Times New Roman" w:hAnsi="Times New Roman"/>
          <w:snapToGrid/>
          <w:sz w:val="22"/>
          <w:szCs w:val="22"/>
          <w:lang w:eastAsia="en-GB"/>
        </w:rPr>
      </w:pPr>
      <w:r w:rsidRPr="003D6B6C">
        <w:rPr>
          <w:rFonts w:ascii="Times New Roman" w:hAnsi="Times New Roman"/>
          <w:sz w:val="22"/>
          <w:szCs w:val="22"/>
        </w:rPr>
        <w:t>28.</w:t>
      </w:r>
      <w:r w:rsidR="00866B17" w:rsidRPr="003D6B6C">
        <w:rPr>
          <w:rFonts w:ascii="Times New Roman" w:hAnsi="Times New Roman"/>
          <w:sz w:val="22"/>
          <w:szCs w:val="22"/>
        </w:rPr>
        <w:t>2</w:t>
      </w:r>
      <w:r w:rsidRPr="003D6B6C">
        <w:rPr>
          <w:rFonts w:ascii="Times New Roman" w:hAnsi="Times New Roman"/>
          <w:b/>
          <w:sz w:val="22"/>
          <w:szCs w:val="22"/>
        </w:rPr>
        <w:tab/>
      </w:r>
      <w:r w:rsidRPr="00A65F76">
        <w:rPr>
          <w:rFonts w:ascii="Times New Roman" w:hAnsi="Times New Roman"/>
          <w:snapToGrid/>
          <w:sz w:val="22"/>
          <w:szCs w:val="22"/>
          <w:lang w:eastAsia="en-GB"/>
        </w:rPr>
        <w:t xml:space="preserve">By derogation from Article 28.2 of the </w:t>
      </w:r>
      <w:r w:rsidR="00F60098" w:rsidRPr="00A65F76">
        <w:rPr>
          <w:rFonts w:ascii="Times New Roman" w:hAnsi="Times New Roman"/>
          <w:snapToGrid/>
          <w:sz w:val="22"/>
          <w:szCs w:val="22"/>
          <w:lang w:eastAsia="en-GB"/>
        </w:rPr>
        <w:t>g</w:t>
      </w:r>
      <w:r w:rsidRPr="00A65F76">
        <w:rPr>
          <w:rFonts w:ascii="Times New Roman" w:hAnsi="Times New Roman"/>
          <w:snapToGrid/>
          <w:sz w:val="22"/>
          <w:szCs w:val="22"/>
          <w:lang w:eastAsia="en-GB"/>
        </w:rPr>
        <w:t xml:space="preserve">eneral </w:t>
      </w:r>
      <w:r w:rsidR="00F60098" w:rsidRPr="00A65F76">
        <w:rPr>
          <w:rFonts w:ascii="Times New Roman" w:hAnsi="Times New Roman"/>
          <w:snapToGrid/>
          <w:sz w:val="22"/>
          <w:szCs w:val="22"/>
          <w:lang w:eastAsia="en-GB"/>
        </w:rPr>
        <w:t>c</w:t>
      </w:r>
      <w:r w:rsidRPr="00A65F76">
        <w:rPr>
          <w:rFonts w:ascii="Times New Roman" w:hAnsi="Times New Roman"/>
          <w:snapToGrid/>
          <w:sz w:val="22"/>
          <w:szCs w:val="22"/>
          <w:lang w:eastAsia="en-GB"/>
        </w:rPr>
        <w:t>onditions, o</w:t>
      </w:r>
      <w:r w:rsidRPr="00A65F76">
        <w:rPr>
          <w:rFonts w:ascii="Times New Roman" w:hAnsi="Times New Roman"/>
          <w:sz w:val="22"/>
          <w:szCs w:val="22"/>
        </w:rPr>
        <w:t>nce the deadline laid down in Article 2</w:t>
      </w:r>
      <w:r w:rsidR="00D83918" w:rsidRPr="00A65F76">
        <w:rPr>
          <w:rFonts w:ascii="Times New Roman" w:hAnsi="Times New Roman"/>
          <w:sz w:val="22"/>
          <w:szCs w:val="22"/>
        </w:rPr>
        <w:t>6.3</w:t>
      </w:r>
      <w:r w:rsidRPr="00A65F76">
        <w:rPr>
          <w:rFonts w:ascii="Times New Roman" w:hAnsi="Times New Roman"/>
          <w:sz w:val="22"/>
          <w:szCs w:val="22"/>
        </w:rPr>
        <w:t xml:space="preserve"> has expired, the </w:t>
      </w:r>
      <w:r w:rsidR="00F60098" w:rsidRPr="00A65F76">
        <w:rPr>
          <w:rFonts w:ascii="Times New Roman" w:hAnsi="Times New Roman"/>
          <w:sz w:val="22"/>
          <w:szCs w:val="22"/>
        </w:rPr>
        <w:t>c</w:t>
      </w:r>
      <w:r w:rsidRPr="00A65F76">
        <w:rPr>
          <w:rFonts w:ascii="Times New Roman" w:hAnsi="Times New Roman"/>
          <w:sz w:val="22"/>
          <w:szCs w:val="22"/>
        </w:rPr>
        <w:t xml:space="preserve">ontractor </w:t>
      </w:r>
      <w:r w:rsidR="00551543" w:rsidRPr="00A65F76">
        <w:rPr>
          <w:rFonts w:ascii="Times New Roman" w:hAnsi="Times New Roman"/>
          <w:sz w:val="22"/>
          <w:szCs w:val="22"/>
        </w:rPr>
        <w:t>sha</w:t>
      </w:r>
      <w:r w:rsidR="006D3BA1" w:rsidRPr="00A65F76">
        <w:rPr>
          <w:rFonts w:ascii="Times New Roman" w:hAnsi="Times New Roman"/>
          <w:sz w:val="22"/>
          <w:szCs w:val="22"/>
        </w:rPr>
        <w:t>ll,</w:t>
      </w:r>
      <w:r w:rsidRPr="00A65F76">
        <w:rPr>
          <w:rFonts w:ascii="Times New Roman" w:hAnsi="Times New Roman"/>
          <w:sz w:val="22"/>
          <w:szCs w:val="22"/>
        </w:rPr>
        <w:t xml:space="preserve"> upon demand, </w:t>
      </w:r>
      <w:r w:rsidR="006D3BA1" w:rsidRPr="00A65F76">
        <w:rPr>
          <w:rFonts w:ascii="Times New Roman" w:hAnsi="Times New Roman"/>
          <w:sz w:val="22"/>
          <w:szCs w:val="22"/>
        </w:rPr>
        <w:t xml:space="preserve">be entitled to late-payment interest </w:t>
      </w:r>
      <w:r w:rsidR="00117ADA" w:rsidRPr="00A65F76">
        <w:rPr>
          <w:rFonts w:ascii="Times New Roman" w:hAnsi="Times New Roman"/>
          <w:sz w:val="22"/>
          <w:szCs w:val="22"/>
        </w:rPr>
        <w:t xml:space="preserve">at the rate and for the period mentioned in the </w:t>
      </w:r>
      <w:r w:rsidR="00F60098" w:rsidRPr="00A65F76">
        <w:rPr>
          <w:rFonts w:ascii="Times New Roman" w:hAnsi="Times New Roman"/>
          <w:sz w:val="22"/>
          <w:szCs w:val="22"/>
        </w:rPr>
        <w:t>g</w:t>
      </w:r>
      <w:r w:rsidR="00117ADA" w:rsidRPr="00A65F76">
        <w:rPr>
          <w:rFonts w:ascii="Times New Roman" w:hAnsi="Times New Roman"/>
          <w:sz w:val="22"/>
          <w:szCs w:val="22"/>
        </w:rPr>
        <w:t xml:space="preserve">eneral </w:t>
      </w:r>
      <w:r w:rsidR="00F60098" w:rsidRPr="00A65F76">
        <w:rPr>
          <w:rFonts w:ascii="Times New Roman" w:hAnsi="Times New Roman"/>
          <w:sz w:val="22"/>
          <w:szCs w:val="22"/>
        </w:rPr>
        <w:t>c</w:t>
      </w:r>
      <w:r w:rsidR="00117ADA" w:rsidRPr="00A65F76">
        <w:rPr>
          <w:rFonts w:ascii="Times New Roman" w:hAnsi="Times New Roman"/>
          <w:sz w:val="22"/>
          <w:szCs w:val="22"/>
        </w:rPr>
        <w:t>onditions</w:t>
      </w:r>
      <w:r w:rsidR="006D3BA1" w:rsidRPr="00A65F76">
        <w:rPr>
          <w:rFonts w:ascii="Times New Roman" w:hAnsi="Times New Roman"/>
          <w:sz w:val="22"/>
          <w:szCs w:val="22"/>
        </w:rPr>
        <w:t xml:space="preserve">. The demand must be </w:t>
      </w:r>
      <w:r w:rsidRPr="00A65F76">
        <w:rPr>
          <w:rFonts w:ascii="Times New Roman" w:hAnsi="Times New Roman"/>
          <w:sz w:val="22"/>
          <w:szCs w:val="22"/>
        </w:rPr>
        <w:t>submitted within two months of receiving late payment</w:t>
      </w:r>
      <w:r w:rsidRPr="004B6CB1">
        <w:rPr>
          <w:rFonts w:ascii="Times New Roman" w:hAnsi="Times New Roman"/>
          <w:sz w:val="22"/>
          <w:szCs w:val="22"/>
        </w:rPr>
        <w:t>.</w:t>
      </w:r>
    </w:p>
    <w:p w14:paraId="72B53C59" w14:textId="77777777" w:rsidR="0047783A" w:rsidRPr="003D6B6C" w:rsidRDefault="0047783A" w:rsidP="00B34179">
      <w:pPr>
        <w:spacing w:before="240"/>
        <w:ind w:left="1134" w:hanging="1134"/>
        <w:jc w:val="both"/>
        <w:rPr>
          <w:rFonts w:ascii="Times New Roman" w:hAnsi="Times New Roman"/>
          <w:b/>
          <w:sz w:val="24"/>
          <w:szCs w:val="24"/>
        </w:rPr>
      </w:pPr>
      <w:bookmarkStart w:id="20" w:name="_Hlk30772065"/>
      <w:r w:rsidRPr="003D6B6C">
        <w:rPr>
          <w:rFonts w:ascii="Times New Roman" w:hAnsi="Times New Roman"/>
          <w:b/>
          <w:sz w:val="24"/>
          <w:szCs w:val="24"/>
        </w:rPr>
        <w:t>Article 29</w:t>
      </w:r>
      <w:r w:rsidRPr="003D6B6C">
        <w:rPr>
          <w:rFonts w:ascii="Times New Roman" w:hAnsi="Times New Roman"/>
          <w:b/>
          <w:sz w:val="24"/>
          <w:szCs w:val="24"/>
        </w:rPr>
        <w:tab/>
        <w:t>Delivery</w:t>
      </w:r>
      <w:bookmarkEnd w:id="19"/>
    </w:p>
    <w:p w14:paraId="1EE69B15" w14:textId="4DB403C8" w:rsidR="0047783A" w:rsidRPr="003D6B6C" w:rsidRDefault="0047783A" w:rsidP="00AC0C72">
      <w:pPr>
        <w:ind w:left="1134" w:hanging="709"/>
        <w:jc w:val="both"/>
        <w:rPr>
          <w:rFonts w:ascii="Times New Roman" w:hAnsi="Times New Roman"/>
          <w:b/>
          <w:sz w:val="22"/>
          <w:szCs w:val="22"/>
        </w:rPr>
      </w:pPr>
      <w:r w:rsidRPr="003D6B6C">
        <w:rPr>
          <w:rFonts w:ascii="Times New Roman" w:hAnsi="Times New Roman"/>
          <w:sz w:val="22"/>
          <w:szCs w:val="22"/>
        </w:rPr>
        <w:t>29.</w:t>
      </w:r>
      <w:r w:rsidR="005B0129" w:rsidRPr="003D6B6C">
        <w:rPr>
          <w:rFonts w:ascii="Times New Roman" w:hAnsi="Times New Roman"/>
          <w:sz w:val="22"/>
          <w:szCs w:val="22"/>
        </w:rPr>
        <w:t>3</w:t>
      </w:r>
      <w:r w:rsidRPr="003D6B6C">
        <w:rPr>
          <w:rFonts w:ascii="Times New Roman" w:hAnsi="Times New Roman"/>
          <w:b/>
          <w:sz w:val="22"/>
          <w:szCs w:val="22"/>
        </w:rPr>
        <w:tab/>
      </w:r>
      <w:r w:rsidRPr="00A65F76">
        <w:rPr>
          <w:rFonts w:ascii="Times New Roman" w:hAnsi="Times New Roman"/>
          <w:sz w:val="22"/>
          <w:szCs w:val="22"/>
        </w:rPr>
        <w:t xml:space="preserve">The packaging </w:t>
      </w:r>
      <w:r w:rsidR="00551543" w:rsidRPr="00A65F76">
        <w:rPr>
          <w:rFonts w:ascii="Times New Roman" w:hAnsi="Times New Roman"/>
          <w:sz w:val="22"/>
          <w:szCs w:val="22"/>
        </w:rPr>
        <w:t>sha</w:t>
      </w:r>
      <w:r w:rsidR="008C4E79" w:rsidRPr="00A65F76">
        <w:rPr>
          <w:rFonts w:ascii="Times New Roman" w:hAnsi="Times New Roman"/>
          <w:sz w:val="22"/>
          <w:szCs w:val="22"/>
        </w:rPr>
        <w:t>ll</w:t>
      </w:r>
      <w:r w:rsidRPr="00A65F76">
        <w:rPr>
          <w:rFonts w:ascii="Times New Roman" w:hAnsi="Times New Roman"/>
          <w:sz w:val="22"/>
          <w:szCs w:val="22"/>
        </w:rPr>
        <w:t xml:space="preserve"> remain the property of the </w:t>
      </w:r>
      <w:r w:rsidR="00F60098" w:rsidRPr="00A65F76">
        <w:rPr>
          <w:rFonts w:ascii="Times New Roman" w:hAnsi="Times New Roman"/>
          <w:sz w:val="22"/>
          <w:szCs w:val="22"/>
        </w:rPr>
        <w:t>c</w:t>
      </w:r>
      <w:r w:rsidRPr="00A65F76">
        <w:rPr>
          <w:rFonts w:ascii="Times New Roman" w:hAnsi="Times New Roman"/>
          <w:sz w:val="22"/>
          <w:szCs w:val="22"/>
        </w:rPr>
        <w:t>ontractor subject to environment</w:t>
      </w:r>
      <w:r w:rsidR="006D3BA1" w:rsidRPr="00A65F76">
        <w:rPr>
          <w:rFonts w:ascii="Times New Roman" w:hAnsi="Times New Roman"/>
          <w:sz w:val="22"/>
          <w:szCs w:val="22"/>
        </w:rPr>
        <w:t>al considerations</w:t>
      </w:r>
      <w:r w:rsidRPr="004B6CB1">
        <w:rPr>
          <w:rFonts w:ascii="Times New Roman" w:hAnsi="Times New Roman"/>
          <w:sz w:val="22"/>
          <w:szCs w:val="22"/>
        </w:rPr>
        <w:t>.</w:t>
      </w:r>
    </w:p>
    <w:p w14:paraId="0FD83D63" w14:textId="4C35CD4D" w:rsidR="004B6CB1" w:rsidRDefault="0047783A" w:rsidP="004B6CB1">
      <w:pPr>
        <w:ind w:left="1134" w:hanging="1134"/>
        <w:jc w:val="both"/>
        <w:rPr>
          <w:rFonts w:ascii="Times New Roman" w:hAnsi="Times New Roman"/>
          <w:sz w:val="22"/>
          <w:szCs w:val="22"/>
        </w:rPr>
      </w:pPr>
      <w:r w:rsidRPr="003D6B6C">
        <w:rPr>
          <w:rFonts w:ascii="Times New Roman" w:hAnsi="Times New Roman"/>
          <w:sz w:val="22"/>
          <w:szCs w:val="22"/>
        </w:rPr>
        <w:t>29.5/6</w:t>
      </w:r>
      <w:r w:rsidR="0041345E" w:rsidRPr="003D6B6C">
        <w:rPr>
          <w:rFonts w:ascii="Times New Roman" w:hAnsi="Times New Roman"/>
          <w:sz w:val="22"/>
          <w:szCs w:val="22"/>
        </w:rPr>
        <w:t>/7</w:t>
      </w:r>
      <w:r w:rsidRPr="003D6B6C">
        <w:rPr>
          <w:rFonts w:ascii="Times New Roman" w:hAnsi="Times New Roman"/>
          <w:sz w:val="22"/>
          <w:szCs w:val="22"/>
        </w:rPr>
        <w:tab/>
      </w:r>
      <w:r w:rsidR="004B6CB1" w:rsidRPr="004B6CB1">
        <w:rPr>
          <w:rFonts w:ascii="Times New Roman" w:hAnsi="Times New Roman"/>
          <w:sz w:val="22"/>
          <w:szCs w:val="22"/>
        </w:rPr>
        <w:t xml:space="preserve">Each package must be clearly marked with the delivery destination address pursuant to the Technical Specification requirements (if any) and the content of each package. In addition, all packages should be marked as follow: </w:t>
      </w:r>
    </w:p>
    <w:p w14:paraId="4711EAF9" w14:textId="77777777" w:rsidR="00C25A8A" w:rsidRPr="004B6CB1" w:rsidRDefault="00C25A8A" w:rsidP="004B6CB1">
      <w:pPr>
        <w:ind w:left="1134" w:hanging="1134"/>
        <w:jc w:val="both"/>
        <w:rPr>
          <w:rFonts w:ascii="Times New Roman" w:hAnsi="Times New Roman"/>
          <w:sz w:val="22"/>
          <w:szCs w:val="22"/>
        </w:rPr>
      </w:pPr>
    </w:p>
    <w:p w14:paraId="75B7C0C0" w14:textId="362B42BC" w:rsidR="004B6CB1" w:rsidRPr="004B6CB1" w:rsidRDefault="00EA3CA6" w:rsidP="00C25A8A">
      <w:pPr>
        <w:ind w:left="1134" w:hanging="1134"/>
        <w:jc w:val="center"/>
        <w:rPr>
          <w:rFonts w:ascii="Times New Roman" w:hAnsi="Times New Roman"/>
          <w:sz w:val="22"/>
          <w:szCs w:val="22"/>
        </w:rPr>
      </w:pPr>
      <w:r>
        <w:rPr>
          <w:rFonts w:ascii="Times New Roman" w:hAnsi="Times New Roman"/>
          <w:sz w:val="22"/>
          <w:szCs w:val="22"/>
        </w:rPr>
        <w:t xml:space="preserve"> </w:t>
      </w:r>
      <w:r>
        <w:rPr>
          <w:noProof/>
        </w:rPr>
        <w:drawing>
          <wp:inline distT="0" distB="0" distL="0" distR="0" wp14:anchorId="24BE6F02" wp14:editId="0D274268">
            <wp:extent cx="2761013" cy="628449"/>
            <wp:effectExtent l="0" t="0" r="127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74079" cy="631423"/>
                    </a:xfrm>
                    <a:prstGeom prst="rect">
                      <a:avLst/>
                    </a:prstGeom>
                    <a:noFill/>
                    <a:ln>
                      <a:noFill/>
                    </a:ln>
                  </pic:spPr>
                </pic:pic>
              </a:graphicData>
            </a:graphic>
          </wp:inline>
        </w:drawing>
      </w:r>
    </w:p>
    <w:p w14:paraId="4DF5F889" w14:textId="5BC9444D" w:rsidR="00C25A8A" w:rsidRDefault="00EA3CA6" w:rsidP="00C25A8A">
      <w:pPr>
        <w:spacing w:before="0" w:after="0"/>
        <w:jc w:val="center"/>
        <w:rPr>
          <w:rFonts w:ascii="Times New Roman" w:hAnsi="Times New Roman"/>
          <w:sz w:val="22"/>
          <w:szCs w:val="22"/>
        </w:rPr>
      </w:pPr>
      <w:r w:rsidRPr="00EA3CA6">
        <w:rPr>
          <w:rFonts w:ascii="Times New Roman" w:hAnsi="Times New Roman"/>
          <w:sz w:val="22"/>
          <w:szCs w:val="22"/>
        </w:rPr>
        <w:t>Project co-funded by the European Union</w:t>
      </w:r>
    </w:p>
    <w:p w14:paraId="60EE1AA1" w14:textId="77777777" w:rsidR="00C25A8A" w:rsidRDefault="004B6CB1" w:rsidP="00C25A8A">
      <w:pPr>
        <w:spacing w:before="0" w:after="0"/>
        <w:jc w:val="center"/>
        <w:rPr>
          <w:rFonts w:ascii="Times New Roman" w:hAnsi="Times New Roman"/>
          <w:sz w:val="22"/>
          <w:szCs w:val="22"/>
        </w:rPr>
      </w:pPr>
      <w:r w:rsidRPr="00A91294">
        <w:rPr>
          <w:rFonts w:ascii="Times New Roman" w:hAnsi="Times New Roman"/>
          <w:sz w:val="22"/>
          <w:szCs w:val="22"/>
        </w:rPr>
        <w:t>TRAP/MoEPP/MK/2018/TD0</w:t>
      </w:r>
      <w:r w:rsidR="00A91294" w:rsidRPr="00A91294">
        <w:rPr>
          <w:rFonts w:ascii="Times New Roman" w:hAnsi="Times New Roman"/>
          <w:sz w:val="22"/>
          <w:szCs w:val="22"/>
        </w:rPr>
        <w:t>3</w:t>
      </w:r>
    </w:p>
    <w:p w14:paraId="7B41B667" w14:textId="2ED4C174" w:rsidR="004B6CB1" w:rsidRPr="004B6CB1" w:rsidRDefault="004B6CB1" w:rsidP="00C25A8A">
      <w:pPr>
        <w:spacing w:before="0" w:after="0"/>
        <w:jc w:val="center"/>
        <w:rPr>
          <w:rFonts w:ascii="Times New Roman" w:hAnsi="Times New Roman"/>
          <w:sz w:val="22"/>
          <w:szCs w:val="22"/>
        </w:rPr>
      </w:pPr>
      <w:r w:rsidRPr="004B6CB1">
        <w:rPr>
          <w:rFonts w:ascii="Times New Roman" w:hAnsi="Times New Roman"/>
          <w:sz w:val="22"/>
          <w:szCs w:val="22"/>
        </w:rPr>
        <w:t>“</w:t>
      </w:r>
      <w:r w:rsidR="00AC0C72">
        <w:rPr>
          <w:rFonts w:ascii="Times New Roman" w:hAnsi="Times New Roman"/>
          <w:sz w:val="22"/>
          <w:szCs w:val="22"/>
        </w:rPr>
        <w:t>Supply</w:t>
      </w:r>
      <w:r w:rsidRPr="004B6CB1">
        <w:rPr>
          <w:rFonts w:ascii="Times New Roman" w:hAnsi="Times New Roman"/>
          <w:sz w:val="22"/>
          <w:szCs w:val="22"/>
        </w:rPr>
        <w:t xml:space="preserve"> of </w:t>
      </w:r>
      <w:r w:rsidR="00EA3CA6">
        <w:rPr>
          <w:rFonts w:ascii="Times New Roman" w:hAnsi="Times New Roman"/>
          <w:sz w:val="22"/>
          <w:szCs w:val="22"/>
        </w:rPr>
        <w:t>A</w:t>
      </w:r>
      <w:r w:rsidRPr="004B6CB1">
        <w:rPr>
          <w:rFonts w:ascii="Times New Roman" w:hAnsi="Times New Roman"/>
          <w:sz w:val="22"/>
          <w:szCs w:val="22"/>
        </w:rPr>
        <w:t xml:space="preserve">ir </w:t>
      </w:r>
      <w:r w:rsidR="00EA3CA6">
        <w:rPr>
          <w:rFonts w:ascii="Times New Roman" w:hAnsi="Times New Roman"/>
          <w:sz w:val="22"/>
          <w:szCs w:val="22"/>
        </w:rPr>
        <w:t>Q</w:t>
      </w:r>
      <w:r w:rsidRPr="004B6CB1">
        <w:rPr>
          <w:rFonts w:ascii="Times New Roman" w:hAnsi="Times New Roman"/>
          <w:sz w:val="22"/>
          <w:szCs w:val="22"/>
        </w:rPr>
        <w:t xml:space="preserve">uality </w:t>
      </w:r>
      <w:r w:rsidR="00EA3CA6">
        <w:rPr>
          <w:rFonts w:ascii="Times New Roman" w:hAnsi="Times New Roman"/>
          <w:sz w:val="22"/>
          <w:szCs w:val="22"/>
        </w:rPr>
        <w:t>M</w:t>
      </w:r>
      <w:r w:rsidRPr="004B6CB1">
        <w:rPr>
          <w:rFonts w:ascii="Times New Roman" w:hAnsi="Times New Roman"/>
          <w:sz w:val="22"/>
          <w:szCs w:val="22"/>
        </w:rPr>
        <w:t xml:space="preserve">onitoring </w:t>
      </w:r>
      <w:r w:rsidR="00EA3CA6">
        <w:rPr>
          <w:rFonts w:ascii="Times New Roman" w:hAnsi="Times New Roman"/>
          <w:sz w:val="22"/>
          <w:szCs w:val="22"/>
        </w:rPr>
        <w:t>E</w:t>
      </w:r>
      <w:r w:rsidRPr="004B6CB1">
        <w:rPr>
          <w:rFonts w:ascii="Times New Roman" w:hAnsi="Times New Roman"/>
          <w:sz w:val="22"/>
          <w:szCs w:val="22"/>
        </w:rPr>
        <w:t>quipment”</w:t>
      </w:r>
    </w:p>
    <w:p w14:paraId="22FF8D53" w14:textId="199CE156" w:rsidR="0047783A" w:rsidRPr="003D6B6C" w:rsidRDefault="004B6CB1" w:rsidP="00C25A8A">
      <w:pPr>
        <w:ind w:left="720"/>
        <w:jc w:val="both"/>
        <w:rPr>
          <w:rFonts w:ascii="Times New Roman" w:hAnsi="Times New Roman"/>
          <w:sz w:val="22"/>
          <w:szCs w:val="22"/>
        </w:rPr>
      </w:pPr>
      <w:r w:rsidRPr="004B6CB1">
        <w:rPr>
          <w:rFonts w:ascii="Times New Roman" w:hAnsi="Times New Roman"/>
          <w:sz w:val="22"/>
          <w:szCs w:val="22"/>
        </w:rPr>
        <w:t>Plastic stickers dim</w:t>
      </w:r>
      <w:r w:rsidR="00A91294">
        <w:rPr>
          <w:rFonts w:ascii="Times New Roman" w:hAnsi="Times New Roman"/>
          <w:sz w:val="22"/>
          <w:szCs w:val="22"/>
        </w:rPr>
        <w:t>ensions</w:t>
      </w:r>
      <w:r w:rsidRPr="004B6CB1">
        <w:rPr>
          <w:rFonts w:ascii="Times New Roman" w:hAnsi="Times New Roman"/>
          <w:sz w:val="22"/>
          <w:szCs w:val="22"/>
        </w:rPr>
        <w:t xml:space="preserve"> </w:t>
      </w:r>
      <w:r w:rsidR="00EA3CA6">
        <w:rPr>
          <w:rFonts w:ascii="Times New Roman" w:hAnsi="Times New Roman"/>
          <w:sz w:val="22"/>
          <w:szCs w:val="22"/>
        </w:rPr>
        <w:t>5</w:t>
      </w:r>
      <w:r w:rsidRPr="004B6CB1">
        <w:rPr>
          <w:rFonts w:ascii="Times New Roman" w:hAnsi="Times New Roman"/>
          <w:sz w:val="22"/>
          <w:szCs w:val="22"/>
        </w:rPr>
        <w:t>0x</w:t>
      </w:r>
      <w:r w:rsidR="00EA3CA6">
        <w:rPr>
          <w:rFonts w:ascii="Times New Roman" w:hAnsi="Times New Roman"/>
          <w:sz w:val="22"/>
          <w:szCs w:val="22"/>
        </w:rPr>
        <w:t>8</w:t>
      </w:r>
      <w:r w:rsidRPr="004B6CB1">
        <w:rPr>
          <w:rFonts w:ascii="Times New Roman" w:hAnsi="Times New Roman"/>
          <w:sz w:val="22"/>
          <w:szCs w:val="22"/>
        </w:rPr>
        <w:t>0 o</w:t>
      </w:r>
      <w:r w:rsidR="00720587">
        <w:rPr>
          <w:rFonts w:ascii="Times New Roman" w:hAnsi="Times New Roman"/>
          <w:sz w:val="22"/>
          <w:szCs w:val="22"/>
        </w:rPr>
        <w:t>r</w:t>
      </w:r>
      <w:r w:rsidRPr="004B6CB1">
        <w:rPr>
          <w:rFonts w:ascii="Times New Roman" w:hAnsi="Times New Roman"/>
          <w:sz w:val="22"/>
          <w:szCs w:val="22"/>
        </w:rPr>
        <w:t xml:space="preserve"> 200x</w:t>
      </w:r>
      <w:r w:rsidR="00EA3CA6">
        <w:rPr>
          <w:rFonts w:ascii="Times New Roman" w:hAnsi="Times New Roman"/>
          <w:sz w:val="22"/>
          <w:szCs w:val="22"/>
        </w:rPr>
        <w:t>3</w:t>
      </w:r>
      <w:bookmarkStart w:id="21" w:name="_GoBack"/>
      <w:bookmarkEnd w:id="21"/>
      <w:r w:rsidRPr="004B6CB1">
        <w:rPr>
          <w:rFonts w:ascii="Times New Roman" w:hAnsi="Times New Roman"/>
          <w:sz w:val="22"/>
          <w:szCs w:val="22"/>
        </w:rPr>
        <w:t>00 mm (as applicable) of the EU logo (pattern to be agreed after contract signature with Contracting Authority) must be fixed on each item supplied</w:t>
      </w:r>
      <w:r w:rsidR="00FD23EE">
        <w:rPr>
          <w:rFonts w:ascii="Times New Roman" w:hAnsi="Times New Roman"/>
          <w:sz w:val="22"/>
          <w:szCs w:val="22"/>
        </w:rPr>
        <w:t>.</w:t>
      </w:r>
    </w:p>
    <w:p w14:paraId="40DD5F07" w14:textId="77777777" w:rsidR="0047783A" w:rsidRPr="003D6B6C" w:rsidRDefault="0047783A" w:rsidP="00B34179">
      <w:pPr>
        <w:spacing w:before="240"/>
        <w:ind w:left="1134" w:hanging="1134"/>
        <w:jc w:val="both"/>
        <w:rPr>
          <w:rFonts w:ascii="Times New Roman" w:hAnsi="Times New Roman"/>
          <w:b/>
          <w:sz w:val="24"/>
          <w:szCs w:val="24"/>
        </w:rPr>
      </w:pPr>
      <w:bookmarkStart w:id="22" w:name="_Toc124934914"/>
      <w:bookmarkEnd w:id="20"/>
      <w:r w:rsidRPr="003D6B6C">
        <w:rPr>
          <w:rFonts w:ascii="Times New Roman" w:hAnsi="Times New Roman"/>
          <w:b/>
          <w:sz w:val="24"/>
          <w:szCs w:val="24"/>
        </w:rPr>
        <w:t>Article 31</w:t>
      </w:r>
      <w:r w:rsidRPr="003D6B6C">
        <w:rPr>
          <w:rFonts w:ascii="Times New Roman" w:hAnsi="Times New Roman"/>
          <w:b/>
          <w:sz w:val="24"/>
          <w:szCs w:val="24"/>
        </w:rPr>
        <w:tab/>
        <w:t>Provisional acceptance</w:t>
      </w:r>
      <w:bookmarkEnd w:id="22"/>
    </w:p>
    <w:p w14:paraId="3555F715" w14:textId="77777777" w:rsidR="00723BF1" w:rsidRPr="00723BF1" w:rsidRDefault="0047783A" w:rsidP="00723BF1">
      <w:pPr>
        <w:jc w:val="both"/>
        <w:rPr>
          <w:rFonts w:ascii="Times New Roman" w:hAnsi="Times New Roman"/>
          <w:sz w:val="22"/>
          <w:szCs w:val="22"/>
        </w:rPr>
      </w:pPr>
      <w:r w:rsidRPr="003D6B6C">
        <w:rPr>
          <w:rFonts w:ascii="Times New Roman" w:hAnsi="Times New Roman"/>
          <w:sz w:val="22"/>
          <w:szCs w:val="22"/>
        </w:rPr>
        <w:t xml:space="preserve">The </w:t>
      </w:r>
      <w:r w:rsidR="00F60098">
        <w:rPr>
          <w:rFonts w:ascii="Times New Roman" w:hAnsi="Times New Roman"/>
          <w:sz w:val="22"/>
          <w:szCs w:val="22"/>
        </w:rPr>
        <w:t>c</w:t>
      </w:r>
      <w:r w:rsidRPr="003D6B6C">
        <w:rPr>
          <w:rFonts w:ascii="Times New Roman" w:hAnsi="Times New Roman"/>
          <w:sz w:val="22"/>
          <w:szCs w:val="22"/>
        </w:rPr>
        <w:t xml:space="preserve">ertificate of </w:t>
      </w:r>
      <w:r w:rsidR="00F60098">
        <w:rPr>
          <w:rFonts w:ascii="Times New Roman" w:hAnsi="Times New Roman"/>
          <w:sz w:val="22"/>
          <w:szCs w:val="22"/>
        </w:rPr>
        <w:t>p</w:t>
      </w:r>
      <w:r w:rsidRPr="003D6B6C">
        <w:rPr>
          <w:rFonts w:ascii="Times New Roman" w:hAnsi="Times New Roman"/>
          <w:sz w:val="22"/>
          <w:szCs w:val="22"/>
        </w:rPr>
        <w:t xml:space="preserve">rovisional </w:t>
      </w:r>
      <w:r w:rsidR="00F60098">
        <w:rPr>
          <w:rFonts w:ascii="Times New Roman" w:hAnsi="Times New Roman"/>
          <w:sz w:val="22"/>
          <w:szCs w:val="22"/>
        </w:rPr>
        <w:t>a</w:t>
      </w:r>
      <w:r w:rsidRPr="003D6B6C">
        <w:rPr>
          <w:rFonts w:ascii="Times New Roman" w:hAnsi="Times New Roman"/>
          <w:sz w:val="22"/>
          <w:szCs w:val="22"/>
        </w:rPr>
        <w:t>cceptance must be issued using the template in Annex</w:t>
      </w:r>
      <w:r w:rsidR="001B55AC" w:rsidRPr="003D6B6C">
        <w:rPr>
          <w:rFonts w:ascii="Times New Roman" w:hAnsi="Times New Roman"/>
          <w:sz w:val="22"/>
          <w:szCs w:val="22"/>
        </w:rPr>
        <w:t> </w:t>
      </w:r>
      <w:r w:rsidRPr="003D6B6C">
        <w:rPr>
          <w:rFonts w:ascii="Times New Roman" w:hAnsi="Times New Roman"/>
          <w:sz w:val="22"/>
          <w:szCs w:val="22"/>
        </w:rPr>
        <w:t xml:space="preserve">C11. </w:t>
      </w:r>
    </w:p>
    <w:p w14:paraId="3E1A1E24" w14:textId="77777777" w:rsidR="00723BF1" w:rsidRPr="00723BF1" w:rsidRDefault="00723BF1" w:rsidP="00A65F76">
      <w:pPr>
        <w:ind w:left="720"/>
        <w:jc w:val="both"/>
        <w:rPr>
          <w:rFonts w:ascii="Times New Roman" w:hAnsi="Times New Roman"/>
          <w:sz w:val="22"/>
          <w:szCs w:val="22"/>
        </w:rPr>
      </w:pPr>
      <w:r w:rsidRPr="00723BF1">
        <w:rPr>
          <w:rFonts w:ascii="Times New Roman" w:hAnsi="Times New Roman"/>
          <w:sz w:val="22"/>
          <w:szCs w:val="22"/>
        </w:rPr>
        <w:t>The Request for Provisional Acceptance must be accompanied by minimum the following documents: Manuals, Transport documents, Statement drawn up by the Contractor which must attest that the delivered goods are new, in working order and compliant with all technical specifications in the Tender dossier, Commercial invoice, Packaging lists and originals of the Certificate of Origin and Document of Delivered Goods. If the Contracting Authority identifies further need for documents, the Contractor will be informed within 30 calendar days of delivery and shall provide them at no extra cost, but no later than 15 days of the receipt of the named information.</w:t>
      </w:r>
    </w:p>
    <w:p w14:paraId="0B031E54" w14:textId="2FF0365D" w:rsidR="00723BF1" w:rsidRPr="00723BF1" w:rsidRDefault="00723BF1" w:rsidP="00A65F76">
      <w:pPr>
        <w:ind w:left="720"/>
        <w:jc w:val="both"/>
        <w:rPr>
          <w:rFonts w:ascii="Times New Roman" w:hAnsi="Times New Roman"/>
          <w:sz w:val="22"/>
          <w:szCs w:val="22"/>
        </w:rPr>
      </w:pPr>
      <w:r w:rsidRPr="00723BF1">
        <w:rPr>
          <w:rFonts w:ascii="Times New Roman" w:hAnsi="Times New Roman"/>
          <w:sz w:val="22"/>
          <w:szCs w:val="22"/>
        </w:rPr>
        <w:t xml:space="preserve">Provisional acceptance shall take place after the supplies have been delivered, unloaded, installed at the place of final destination in accordance with the Technical Specifications, have satisfactorily passed all the required tests and put into operation within the period of implementation stipulated in the contract. Completion of staff training, including preparation of manuals shall be also considered preconditions for contractor’s application for provisional acceptance.  </w:t>
      </w:r>
    </w:p>
    <w:p w14:paraId="11AF286D" w14:textId="02BFBE39" w:rsidR="00723BF1" w:rsidRPr="00723BF1" w:rsidRDefault="00723BF1" w:rsidP="00A65F76">
      <w:pPr>
        <w:ind w:left="720"/>
        <w:jc w:val="both"/>
        <w:rPr>
          <w:rFonts w:ascii="Times New Roman" w:hAnsi="Times New Roman"/>
          <w:sz w:val="22"/>
          <w:szCs w:val="22"/>
        </w:rPr>
      </w:pPr>
      <w:r w:rsidRPr="00723BF1">
        <w:rPr>
          <w:rFonts w:ascii="Times New Roman" w:hAnsi="Times New Roman"/>
          <w:sz w:val="22"/>
          <w:szCs w:val="22"/>
        </w:rPr>
        <w:lastRenderedPageBreak/>
        <w:t xml:space="preserve">With provisional acceptance, the </w:t>
      </w:r>
      <w:r w:rsidR="00C25A8A">
        <w:rPr>
          <w:rFonts w:ascii="Times New Roman" w:hAnsi="Times New Roman"/>
          <w:sz w:val="22"/>
          <w:szCs w:val="22"/>
        </w:rPr>
        <w:t>Contracting authority</w:t>
      </w:r>
      <w:r w:rsidRPr="00723BF1">
        <w:rPr>
          <w:rFonts w:ascii="Times New Roman" w:hAnsi="Times New Roman"/>
          <w:sz w:val="22"/>
          <w:szCs w:val="22"/>
        </w:rPr>
        <w:t xml:space="preserve"> acquires full title and ownership to the goods supplied and the right to make full and unimpaired use of the supplies delivered.</w:t>
      </w:r>
    </w:p>
    <w:p w14:paraId="1BE73D6F" w14:textId="77777777" w:rsidR="002B04FF" w:rsidRDefault="00723BF1" w:rsidP="00A65F76">
      <w:pPr>
        <w:ind w:left="720"/>
        <w:jc w:val="both"/>
        <w:rPr>
          <w:rFonts w:ascii="Times New Roman" w:hAnsi="Times New Roman"/>
          <w:sz w:val="22"/>
          <w:szCs w:val="22"/>
        </w:rPr>
      </w:pPr>
      <w:r w:rsidRPr="00723BF1">
        <w:rPr>
          <w:rFonts w:ascii="Times New Roman" w:hAnsi="Times New Roman"/>
          <w:sz w:val="22"/>
          <w:szCs w:val="22"/>
        </w:rPr>
        <w:t>If at any stage, the supplies are found to be damaged or defective or not in conformity with the Contract the Contracting Authority shall present a report to the Contractor. The Contractor shall be requested to verify the facts – where the supplies are located - and to notify the Contracting Authority of their findings within 15 days, after the receipt of the report.</w:t>
      </w:r>
    </w:p>
    <w:p w14:paraId="6CEF4602" w14:textId="663BB6F8" w:rsidR="00723BF1" w:rsidRDefault="00723BF1" w:rsidP="002B04FF">
      <w:pPr>
        <w:jc w:val="both"/>
        <w:rPr>
          <w:rFonts w:ascii="Times New Roman" w:hAnsi="Times New Roman"/>
          <w:sz w:val="22"/>
          <w:szCs w:val="22"/>
        </w:rPr>
      </w:pPr>
      <w:r w:rsidRPr="00723BF1">
        <w:rPr>
          <w:rFonts w:ascii="Times New Roman" w:hAnsi="Times New Roman"/>
          <w:sz w:val="22"/>
          <w:szCs w:val="22"/>
        </w:rPr>
        <w:t>All provisions stipulated in Art 31 in the General Conditions remain applicable</w:t>
      </w:r>
    </w:p>
    <w:p w14:paraId="07935A07" w14:textId="6759415C" w:rsidR="0047783A" w:rsidRPr="003D6B6C" w:rsidRDefault="0047783A" w:rsidP="00723BF1">
      <w:pPr>
        <w:jc w:val="both"/>
        <w:rPr>
          <w:rFonts w:ascii="Times New Roman" w:hAnsi="Times New Roman"/>
          <w:sz w:val="22"/>
          <w:szCs w:val="22"/>
        </w:rPr>
      </w:pPr>
    </w:p>
    <w:p w14:paraId="17F156FC" w14:textId="77777777" w:rsidR="0047783A" w:rsidRPr="003D6B6C" w:rsidRDefault="0047783A" w:rsidP="00B34179">
      <w:pPr>
        <w:spacing w:before="240"/>
        <w:ind w:left="1134" w:hanging="1134"/>
        <w:jc w:val="both"/>
        <w:rPr>
          <w:rFonts w:ascii="Times New Roman" w:hAnsi="Times New Roman"/>
          <w:b/>
          <w:sz w:val="24"/>
          <w:szCs w:val="24"/>
        </w:rPr>
      </w:pPr>
      <w:bookmarkStart w:id="23" w:name="_Toc124934915"/>
      <w:r w:rsidRPr="003D6B6C">
        <w:rPr>
          <w:rFonts w:ascii="Times New Roman" w:hAnsi="Times New Roman"/>
          <w:b/>
          <w:sz w:val="24"/>
          <w:szCs w:val="24"/>
        </w:rPr>
        <w:t>Article 32</w:t>
      </w:r>
      <w:r w:rsidRPr="003D6B6C">
        <w:rPr>
          <w:rFonts w:ascii="Times New Roman" w:hAnsi="Times New Roman"/>
          <w:b/>
          <w:sz w:val="24"/>
          <w:szCs w:val="24"/>
        </w:rPr>
        <w:tab/>
        <w:t>Warranty</w:t>
      </w:r>
      <w:bookmarkEnd w:id="23"/>
      <w:r w:rsidR="00177A94" w:rsidRPr="003D6B6C">
        <w:rPr>
          <w:rFonts w:ascii="Times New Roman" w:hAnsi="Times New Roman"/>
          <w:b/>
          <w:sz w:val="24"/>
          <w:szCs w:val="24"/>
        </w:rPr>
        <w:t xml:space="preserve"> obligations</w:t>
      </w:r>
    </w:p>
    <w:p w14:paraId="2046337B" w14:textId="1D1AEFFF" w:rsidR="00DF7EE0" w:rsidRPr="003D6B6C" w:rsidRDefault="00DF7EE0" w:rsidP="006B145B">
      <w:pPr>
        <w:ind w:left="1134" w:hanging="708"/>
        <w:jc w:val="both"/>
        <w:rPr>
          <w:rFonts w:ascii="Times New Roman" w:hAnsi="Times New Roman"/>
          <w:sz w:val="22"/>
          <w:szCs w:val="22"/>
        </w:rPr>
      </w:pPr>
      <w:r w:rsidRPr="003D6B6C">
        <w:rPr>
          <w:rFonts w:ascii="Times New Roman" w:hAnsi="Times New Roman"/>
          <w:sz w:val="22"/>
          <w:szCs w:val="22"/>
        </w:rPr>
        <w:t>32.7</w:t>
      </w:r>
      <w:r w:rsidRPr="003D6B6C">
        <w:rPr>
          <w:rFonts w:ascii="Times New Roman" w:hAnsi="Times New Roman"/>
          <w:sz w:val="22"/>
          <w:szCs w:val="22"/>
        </w:rPr>
        <w:tab/>
        <w:t xml:space="preserve">The warranty must remain valid for </w:t>
      </w:r>
      <w:r w:rsidR="004B6CB1">
        <w:rPr>
          <w:rFonts w:ascii="Times New Roman" w:hAnsi="Times New Roman"/>
          <w:sz w:val="22"/>
          <w:szCs w:val="22"/>
        </w:rPr>
        <w:t>12 months</w:t>
      </w:r>
      <w:r w:rsidRPr="003D6B6C">
        <w:rPr>
          <w:rFonts w:ascii="Times New Roman" w:hAnsi="Times New Roman"/>
          <w:sz w:val="22"/>
          <w:szCs w:val="22"/>
        </w:rPr>
        <w:t xml:space="preserve"> after provisional acceptance.</w:t>
      </w:r>
    </w:p>
    <w:p w14:paraId="4031A6FD" w14:textId="77777777" w:rsidR="0047783A" w:rsidRPr="003D6B6C" w:rsidRDefault="0047783A" w:rsidP="00B34179">
      <w:pPr>
        <w:spacing w:before="240"/>
        <w:ind w:left="1134" w:hanging="1134"/>
        <w:jc w:val="both"/>
        <w:rPr>
          <w:rFonts w:ascii="Times New Roman" w:hAnsi="Times New Roman"/>
          <w:b/>
          <w:sz w:val="24"/>
          <w:szCs w:val="24"/>
        </w:rPr>
      </w:pPr>
      <w:bookmarkStart w:id="24" w:name="_Toc119839451"/>
      <w:bookmarkStart w:id="25" w:name="_Toc124934916"/>
      <w:r w:rsidRPr="003D6B6C">
        <w:rPr>
          <w:rFonts w:ascii="Times New Roman" w:hAnsi="Times New Roman"/>
          <w:b/>
          <w:sz w:val="24"/>
          <w:szCs w:val="24"/>
        </w:rPr>
        <w:t>Article 33</w:t>
      </w:r>
      <w:r w:rsidRPr="003D6B6C">
        <w:rPr>
          <w:rFonts w:ascii="Times New Roman" w:hAnsi="Times New Roman"/>
          <w:b/>
          <w:sz w:val="24"/>
          <w:szCs w:val="24"/>
        </w:rPr>
        <w:tab/>
        <w:t>After-sales service</w:t>
      </w:r>
      <w:bookmarkEnd w:id="24"/>
      <w:bookmarkEnd w:id="25"/>
    </w:p>
    <w:p w14:paraId="6B52A43C" w14:textId="77777777" w:rsidR="0047783A" w:rsidRPr="003D6B6C" w:rsidRDefault="0047783A" w:rsidP="00B34179">
      <w:pPr>
        <w:spacing w:before="240"/>
        <w:ind w:left="1134" w:hanging="1134"/>
        <w:jc w:val="both"/>
        <w:rPr>
          <w:rFonts w:ascii="Times New Roman" w:hAnsi="Times New Roman"/>
          <w:b/>
          <w:sz w:val="24"/>
          <w:szCs w:val="24"/>
        </w:rPr>
      </w:pPr>
      <w:bookmarkStart w:id="26" w:name="_Toc124934917"/>
      <w:r w:rsidRPr="003D6B6C">
        <w:rPr>
          <w:rFonts w:ascii="Times New Roman" w:hAnsi="Times New Roman"/>
          <w:b/>
          <w:sz w:val="24"/>
          <w:szCs w:val="24"/>
        </w:rPr>
        <w:t>Article 40</w:t>
      </w:r>
      <w:r w:rsidR="00EB45CB" w:rsidRPr="003D6B6C">
        <w:rPr>
          <w:rFonts w:ascii="Times New Roman" w:hAnsi="Times New Roman"/>
          <w:b/>
          <w:sz w:val="24"/>
          <w:szCs w:val="24"/>
        </w:rPr>
        <w:tab/>
      </w:r>
      <w:r w:rsidRPr="003D6B6C">
        <w:rPr>
          <w:rFonts w:ascii="Times New Roman" w:hAnsi="Times New Roman"/>
          <w:b/>
          <w:sz w:val="24"/>
          <w:szCs w:val="24"/>
        </w:rPr>
        <w:t>Settlement of disputes</w:t>
      </w:r>
      <w:bookmarkEnd w:id="26"/>
    </w:p>
    <w:p w14:paraId="3E5F6E50" w14:textId="2240740C" w:rsidR="0047783A" w:rsidRPr="003D6B6C" w:rsidRDefault="0047783A" w:rsidP="001B55AC">
      <w:pPr>
        <w:ind w:left="1134" w:hanging="708"/>
        <w:jc w:val="both"/>
        <w:rPr>
          <w:rFonts w:ascii="Times New Roman" w:hAnsi="Times New Roman"/>
          <w:sz w:val="22"/>
          <w:szCs w:val="22"/>
        </w:rPr>
      </w:pPr>
      <w:r w:rsidRPr="003D6B6C">
        <w:rPr>
          <w:rFonts w:ascii="Times New Roman" w:hAnsi="Times New Roman"/>
          <w:sz w:val="22"/>
          <w:szCs w:val="22"/>
        </w:rPr>
        <w:t>40.</w:t>
      </w:r>
      <w:r w:rsidR="00D83918" w:rsidRPr="003D6B6C">
        <w:rPr>
          <w:rFonts w:ascii="Times New Roman" w:hAnsi="Times New Roman"/>
          <w:sz w:val="22"/>
          <w:szCs w:val="22"/>
        </w:rPr>
        <w:t>4</w:t>
      </w:r>
      <w:r w:rsidRPr="003D6B6C">
        <w:rPr>
          <w:rFonts w:ascii="Times New Roman" w:hAnsi="Times New Roman"/>
          <w:sz w:val="22"/>
          <w:szCs w:val="22"/>
        </w:rPr>
        <w:tab/>
      </w:r>
      <w:r w:rsidRPr="00A65F76">
        <w:rPr>
          <w:rFonts w:ascii="Times New Roman" w:hAnsi="Times New Roman"/>
          <w:sz w:val="22"/>
          <w:szCs w:val="22"/>
        </w:rPr>
        <w:t xml:space="preserve">Any disputes arising out of or relating to this </w:t>
      </w:r>
      <w:r w:rsidR="00F60098" w:rsidRPr="00A65F76">
        <w:rPr>
          <w:rFonts w:ascii="Times New Roman" w:hAnsi="Times New Roman"/>
          <w:sz w:val="22"/>
          <w:szCs w:val="22"/>
        </w:rPr>
        <w:t>c</w:t>
      </w:r>
      <w:r w:rsidR="0097513D" w:rsidRPr="00A65F76">
        <w:rPr>
          <w:rFonts w:ascii="Times New Roman" w:hAnsi="Times New Roman"/>
          <w:sz w:val="22"/>
          <w:szCs w:val="22"/>
        </w:rPr>
        <w:t>ontract</w:t>
      </w:r>
      <w:r w:rsidRPr="00A65F76">
        <w:rPr>
          <w:rFonts w:ascii="Times New Roman" w:hAnsi="Times New Roman"/>
          <w:sz w:val="22"/>
          <w:szCs w:val="22"/>
        </w:rPr>
        <w:t xml:space="preserve"> which cannot be settled otherwise </w:t>
      </w:r>
      <w:r w:rsidR="00177A94" w:rsidRPr="00A65F76">
        <w:rPr>
          <w:rFonts w:ascii="Times New Roman" w:hAnsi="Times New Roman"/>
          <w:sz w:val="22"/>
          <w:szCs w:val="22"/>
        </w:rPr>
        <w:t xml:space="preserve">shall </w:t>
      </w:r>
      <w:r w:rsidRPr="00A65F76">
        <w:rPr>
          <w:rFonts w:ascii="Times New Roman" w:hAnsi="Times New Roman"/>
          <w:sz w:val="22"/>
          <w:szCs w:val="22"/>
        </w:rPr>
        <w:t xml:space="preserve">be referred to the exclusive jurisdiction of </w:t>
      </w:r>
      <w:r w:rsidR="00723BF1" w:rsidRPr="00723BF1">
        <w:rPr>
          <w:rFonts w:ascii="Times New Roman" w:hAnsi="Times New Roman"/>
          <w:sz w:val="22"/>
          <w:szCs w:val="22"/>
        </w:rPr>
        <w:t>Beneficiary Country</w:t>
      </w:r>
      <w:r w:rsidRPr="00A65F76">
        <w:rPr>
          <w:rFonts w:ascii="Times New Roman" w:hAnsi="Times New Roman"/>
          <w:sz w:val="22"/>
          <w:szCs w:val="22"/>
        </w:rPr>
        <w:t xml:space="preserve"> </w:t>
      </w:r>
      <w:r w:rsidR="00686ACD" w:rsidRPr="00A65F76">
        <w:rPr>
          <w:rFonts w:ascii="Times New Roman" w:hAnsi="Times New Roman"/>
          <w:sz w:val="22"/>
          <w:szCs w:val="22"/>
        </w:rPr>
        <w:t xml:space="preserve">in accordance with </w:t>
      </w:r>
      <w:r w:rsidRPr="00A65F76">
        <w:rPr>
          <w:rFonts w:ascii="Times New Roman" w:hAnsi="Times New Roman"/>
          <w:sz w:val="22"/>
          <w:szCs w:val="22"/>
        </w:rPr>
        <w:t xml:space="preserve">the national legislation of </w:t>
      </w:r>
      <w:r w:rsidR="009A0E33" w:rsidRPr="00A65F76">
        <w:rPr>
          <w:rFonts w:ascii="Times New Roman" w:hAnsi="Times New Roman"/>
          <w:sz w:val="22"/>
          <w:szCs w:val="22"/>
        </w:rPr>
        <w:t xml:space="preserve">the state of </w:t>
      </w:r>
      <w:r w:rsidRPr="00A65F76">
        <w:rPr>
          <w:rFonts w:ascii="Times New Roman" w:hAnsi="Times New Roman"/>
          <w:sz w:val="22"/>
          <w:szCs w:val="22"/>
        </w:rPr>
        <w:t xml:space="preserve">the </w:t>
      </w:r>
      <w:r w:rsidR="00F60098" w:rsidRPr="00A65F76">
        <w:rPr>
          <w:rFonts w:ascii="Times New Roman" w:hAnsi="Times New Roman"/>
          <w:sz w:val="22"/>
          <w:szCs w:val="22"/>
        </w:rPr>
        <w:t>c</w:t>
      </w:r>
      <w:r w:rsidRPr="00A65F76">
        <w:rPr>
          <w:rFonts w:ascii="Times New Roman" w:hAnsi="Times New Roman"/>
          <w:sz w:val="22"/>
          <w:szCs w:val="22"/>
        </w:rPr>
        <w:t xml:space="preserve">ontracting </w:t>
      </w:r>
      <w:r w:rsidR="00F60098" w:rsidRPr="00A65F76">
        <w:rPr>
          <w:rFonts w:ascii="Times New Roman" w:hAnsi="Times New Roman"/>
          <w:sz w:val="22"/>
          <w:szCs w:val="22"/>
        </w:rPr>
        <w:t>a</w:t>
      </w:r>
      <w:r w:rsidRPr="00A65F76">
        <w:rPr>
          <w:rFonts w:ascii="Times New Roman" w:hAnsi="Times New Roman"/>
          <w:sz w:val="22"/>
          <w:szCs w:val="22"/>
        </w:rPr>
        <w:t>uthority</w:t>
      </w:r>
      <w:r w:rsidR="005C7DD4">
        <w:rPr>
          <w:rFonts w:ascii="Times New Roman" w:hAnsi="Times New Roman"/>
          <w:sz w:val="22"/>
          <w:szCs w:val="22"/>
        </w:rPr>
        <w:t>.</w:t>
      </w:r>
    </w:p>
    <w:p w14:paraId="654F8511" w14:textId="77777777" w:rsidR="001B55AC" w:rsidRPr="003D6B6C" w:rsidRDefault="001B55AC" w:rsidP="001B55AC">
      <w:pPr>
        <w:pStyle w:val="ListNumber"/>
        <w:numPr>
          <w:ilvl w:val="0"/>
          <w:numId w:val="0"/>
        </w:numPr>
        <w:spacing w:before="360" w:after="100" w:afterAutospacing="1"/>
        <w:ind w:left="1984" w:hanging="425"/>
        <w:jc w:val="center"/>
        <w:rPr>
          <w:sz w:val="22"/>
          <w:szCs w:val="22"/>
        </w:rPr>
      </w:pPr>
      <w:r w:rsidRPr="003D6B6C">
        <w:rPr>
          <w:sz w:val="22"/>
          <w:szCs w:val="22"/>
        </w:rPr>
        <w:t>* * *</w:t>
      </w:r>
    </w:p>
    <w:sectPr w:rsidR="001B55AC" w:rsidRPr="003D6B6C" w:rsidSect="003D6B6C">
      <w:footerReference w:type="even" r:id="rId11"/>
      <w:footerReference w:type="default" r:id="rId12"/>
      <w:footerReference w:type="first" r:id="rId13"/>
      <w:footnotePr>
        <w:numRestart w:val="eachPage"/>
      </w:footnotePr>
      <w:pgSz w:w="11906" w:h="16838"/>
      <w:pgMar w:top="1134" w:right="1418" w:bottom="993" w:left="1701" w:header="720" w:footer="313" w:gutter="5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34654" w14:textId="77777777" w:rsidR="00EE35FC" w:rsidRPr="006A5F84" w:rsidRDefault="00EE35FC">
      <w:r w:rsidRPr="006A5F84">
        <w:separator/>
      </w:r>
    </w:p>
  </w:endnote>
  <w:endnote w:type="continuationSeparator" w:id="0">
    <w:p w14:paraId="43286573" w14:textId="77777777" w:rsidR="00EE35FC" w:rsidRPr="006A5F84" w:rsidRDefault="00EE35FC">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A826C" w14:textId="77777777" w:rsidR="00117ADA" w:rsidRDefault="00117ADA"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F1A5655" w14:textId="77777777" w:rsidR="00117ADA" w:rsidRDefault="00117ADA" w:rsidP="004778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58BB1" w14:textId="77777777" w:rsidR="007E36E3" w:rsidRPr="00FE689C" w:rsidRDefault="00F4288C" w:rsidP="007E36E3">
    <w:pPr>
      <w:pStyle w:val="Footer"/>
      <w:tabs>
        <w:tab w:val="clear" w:pos="4320"/>
        <w:tab w:val="clear" w:pos="8640"/>
        <w:tab w:val="right" w:pos="8647"/>
      </w:tabs>
      <w:spacing w:after="0"/>
      <w:ind w:right="6"/>
      <w:rPr>
        <w:rStyle w:val="PageNumber"/>
        <w:rFonts w:ascii="Times New Roman" w:hAnsi="Times New Roman"/>
        <w:sz w:val="18"/>
        <w:szCs w:val="18"/>
        <w:lang w:val="en-GB"/>
      </w:rPr>
    </w:pPr>
    <w:r>
      <w:rPr>
        <w:rFonts w:ascii="Times New Roman" w:hAnsi="Times New Roman"/>
        <w:b/>
        <w:sz w:val="18"/>
        <w:lang w:val="en-GB"/>
      </w:rPr>
      <w:t>July</w:t>
    </w:r>
    <w:r w:rsidR="002E5532">
      <w:rPr>
        <w:rFonts w:ascii="Times New Roman" w:hAnsi="Times New Roman"/>
        <w:b/>
        <w:sz w:val="18"/>
        <w:szCs w:val="18"/>
        <w:lang w:val="en-GB"/>
      </w:rPr>
      <w:t xml:space="preserve"> </w:t>
    </w:r>
    <w:r w:rsidR="00391C12">
      <w:rPr>
        <w:rFonts w:ascii="Times New Roman" w:hAnsi="Times New Roman"/>
        <w:b/>
        <w:sz w:val="18"/>
        <w:szCs w:val="18"/>
        <w:lang w:val="en-GB"/>
      </w:rPr>
      <w:t>201</w:t>
    </w:r>
    <w:r>
      <w:rPr>
        <w:rFonts w:ascii="Times New Roman" w:hAnsi="Times New Roman"/>
        <w:b/>
        <w:sz w:val="18"/>
        <w:szCs w:val="18"/>
        <w:lang w:val="en-GB"/>
      </w:rPr>
      <w:t>9</w:t>
    </w:r>
    <w:r w:rsidR="007E36E3" w:rsidRPr="00FE689C">
      <w:rPr>
        <w:rFonts w:ascii="Times New Roman" w:hAnsi="Times New Roman"/>
        <w:sz w:val="18"/>
        <w:szCs w:val="18"/>
        <w:lang w:val="en-GB"/>
      </w:rPr>
      <w:tab/>
    </w:r>
    <w:r w:rsidR="007E36E3" w:rsidRPr="00FE689C">
      <w:rPr>
        <w:rStyle w:val="PageNumber"/>
        <w:rFonts w:ascii="Times New Roman" w:hAnsi="Times New Roman"/>
        <w:sz w:val="18"/>
        <w:szCs w:val="18"/>
        <w:lang w:val="en-GB"/>
      </w:rPr>
      <w:t xml:space="preserve">Page </w:t>
    </w:r>
    <w:r w:rsidR="007E36E3" w:rsidRPr="009423FB">
      <w:rPr>
        <w:rStyle w:val="PageNumber"/>
        <w:rFonts w:ascii="Times New Roman" w:hAnsi="Times New Roman"/>
        <w:sz w:val="18"/>
        <w:szCs w:val="18"/>
      </w:rPr>
      <w:fldChar w:fldCharType="begin"/>
    </w:r>
    <w:r w:rsidR="007E36E3" w:rsidRPr="00FE689C">
      <w:rPr>
        <w:rStyle w:val="PageNumber"/>
        <w:rFonts w:ascii="Times New Roman" w:hAnsi="Times New Roman"/>
        <w:sz w:val="18"/>
        <w:szCs w:val="18"/>
        <w:lang w:val="en-GB"/>
      </w:rPr>
      <w:instrText xml:space="preserve"> PAGE </w:instrText>
    </w:r>
    <w:r w:rsidR="007E36E3" w:rsidRPr="009423FB">
      <w:rPr>
        <w:rStyle w:val="PageNumber"/>
        <w:rFonts w:ascii="Times New Roman" w:hAnsi="Times New Roman"/>
        <w:sz w:val="18"/>
        <w:szCs w:val="18"/>
      </w:rPr>
      <w:fldChar w:fldCharType="separate"/>
    </w:r>
    <w:r w:rsidR="00D87E38">
      <w:rPr>
        <w:rStyle w:val="PageNumber"/>
        <w:rFonts w:ascii="Times New Roman" w:hAnsi="Times New Roman"/>
        <w:noProof/>
        <w:sz w:val="18"/>
        <w:szCs w:val="18"/>
        <w:lang w:val="en-GB"/>
      </w:rPr>
      <w:t>6</w:t>
    </w:r>
    <w:r w:rsidR="007E36E3" w:rsidRPr="009423FB">
      <w:rPr>
        <w:rStyle w:val="PageNumber"/>
        <w:rFonts w:ascii="Times New Roman" w:hAnsi="Times New Roman"/>
        <w:sz w:val="18"/>
        <w:szCs w:val="18"/>
      </w:rPr>
      <w:fldChar w:fldCharType="end"/>
    </w:r>
    <w:r w:rsidR="007E36E3" w:rsidRPr="00FE689C">
      <w:rPr>
        <w:rStyle w:val="PageNumber"/>
        <w:rFonts w:ascii="Times New Roman" w:hAnsi="Times New Roman"/>
        <w:sz w:val="18"/>
        <w:szCs w:val="18"/>
        <w:lang w:val="en-GB"/>
      </w:rPr>
      <w:t xml:space="preserve"> of </w:t>
    </w:r>
    <w:r w:rsidR="007E36E3" w:rsidRPr="009423FB">
      <w:rPr>
        <w:rStyle w:val="PageNumber"/>
        <w:rFonts w:ascii="Times New Roman" w:hAnsi="Times New Roman"/>
        <w:sz w:val="18"/>
        <w:szCs w:val="18"/>
      </w:rPr>
      <w:fldChar w:fldCharType="begin"/>
    </w:r>
    <w:r w:rsidR="007E36E3" w:rsidRPr="00FE689C">
      <w:rPr>
        <w:rStyle w:val="PageNumber"/>
        <w:rFonts w:ascii="Times New Roman" w:hAnsi="Times New Roman"/>
        <w:sz w:val="18"/>
        <w:szCs w:val="18"/>
        <w:lang w:val="en-GB"/>
      </w:rPr>
      <w:instrText xml:space="preserve"> NUMPAGES </w:instrText>
    </w:r>
    <w:r w:rsidR="007E36E3" w:rsidRPr="009423FB">
      <w:rPr>
        <w:rStyle w:val="PageNumber"/>
        <w:rFonts w:ascii="Times New Roman" w:hAnsi="Times New Roman"/>
        <w:sz w:val="18"/>
        <w:szCs w:val="18"/>
      </w:rPr>
      <w:fldChar w:fldCharType="separate"/>
    </w:r>
    <w:r w:rsidR="00D87E38">
      <w:rPr>
        <w:rStyle w:val="PageNumber"/>
        <w:rFonts w:ascii="Times New Roman" w:hAnsi="Times New Roman"/>
        <w:noProof/>
        <w:sz w:val="18"/>
        <w:szCs w:val="18"/>
        <w:lang w:val="en-GB"/>
      </w:rPr>
      <w:t>6</w:t>
    </w:r>
    <w:r w:rsidR="007E36E3" w:rsidRPr="009423FB">
      <w:rPr>
        <w:rStyle w:val="PageNumber"/>
        <w:rFonts w:ascii="Times New Roman" w:hAnsi="Times New Roman"/>
        <w:sz w:val="18"/>
        <w:szCs w:val="18"/>
      </w:rPr>
      <w:fldChar w:fldCharType="end"/>
    </w:r>
  </w:p>
  <w:p w14:paraId="725CE714" w14:textId="77777777" w:rsidR="00117ADA" w:rsidRPr="007E36E3" w:rsidRDefault="007E36E3" w:rsidP="007E36E3">
    <w:pPr>
      <w:spacing w:before="0" w:after="0"/>
      <w:rPr>
        <w:rFonts w:ascii="Times New Roman" w:hAnsi="Times New Roman"/>
        <w:sz w:val="18"/>
        <w:szCs w:val="18"/>
      </w:rPr>
    </w:pPr>
    <w:r w:rsidRPr="009423FB">
      <w:rPr>
        <w:rFonts w:ascii="Times New Roman" w:hAnsi="Times New Roman"/>
        <w:sz w:val="18"/>
        <w:szCs w:val="18"/>
      </w:rPr>
      <w:fldChar w:fldCharType="begin"/>
    </w:r>
    <w:r w:rsidRPr="009423FB">
      <w:rPr>
        <w:rFonts w:ascii="Times New Roman" w:hAnsi="Times New Roman"/>
        <w:sz w:val="18"/>
        <w:szCs w:val="18"/>
      </w:rPr>
      <w:instrText xml:space="preserve"> FILENAME </w:instrText>
    </w:r>
    <w:r w:rsidRPr="009423FB">
      <w:rPr>
        <w:rFonts w:ascii="Times New Roman" w:hAnsi="Times New Roman"/>
        <w:sz w:val="18"/>
        <w:szCs w:val="18"/>
      </w:rPr>
      <w:fldChar w:fldCharType="separate"/>
    </w:r>
    <w:r w:rsidR="0011156A">
      <w:rPr>
        <w:rFonts w:ascii="Times New Roman" w:hAnsi="Times New Roman"/>
        <w:noProof/>
        <w:sz w:val="18"/>
        <w:szCs w:val="18"/>
      </w:rPr>
      <w:t>c4d_specialconditions_en.doc</w:t>
    </w:r>
    <w:r w:rsidRPr="009423FB">
      <w:rP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12C8E" w14:textId="77777777" w:rsidR="00117ADA" w:rsidRPr="006A5F84" w:rsidRDefault="00117ADA" w:rsidP="0047783A">
    <w:pPr>
      <w:pStyle w:val="Footer"/>
      <w:framePr w:wrap="around" w:vAnchor="text" w:hAnchor="margin" w:xAlign="right" w:y="1"/>
      <w:rPr>
        <w:rStyle w:val="PageNumber"/>
      </w:rPr>
    </w:pPr>
    <w:r w:rsidRPr="006A5F84">
      <w:rPr>
        <w:rStyle w:val="PageNumber"/>
      </w:rPr>
      <w:fldChar w:fldCharType="begin"/>
    </w:r>
    <w:r w:rsidRPr="006A5F84">
      <w:rPr>
        <w:rStyle w:val="PageNumber"/>
      </w:rPr>
      <w:instrText xml:space="preserve">PAGE  </w:instrText>
    </w:r>
    <w:r w:rsidRPr="006A5F84">
      <w:rPr>
        <w:rStyle w:val="PageNumber"/>
      </w:rPr>
      <w:fldChar w:fldCharType="separate"/>
    </w:r>
    <w:r w:rsidRPr="006A5F84">
      <w:rPr>
        <w:rStyle w:val="PageNumber"/>
      </w:rPr>
      <w:t>1</w:t>
    </w:r>
    <w:r w:rsidRPr="006A5F84">
      <w:rPr>
        <w:rStyle w:val="PageNumber"/>
      </w:rPr>
      <w:fldChar w:fldCharType="end"/>
    </w:r>
  </w:p>
  <w:p w14:paraId="1896ECE0" w14:textId="77777777" w:rsidR="00117ADA" w:rsidRPr="006A5F84" w:rsidRDefault="00117ADA" w:rsidP="0047783A">
    <w:pPr>
      <w:pStyle w:val="Footer"/>
      <w:ind w:right="360"/>
    </w:pPr>
    <w:r w:rsidRPr="006A5F84">
      <w:t>2006</w:t>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52786" w14:textId="77777777" w:rsidR="00EE35FC" w:rsidRPr="006A5F84" w:rsidRDefault="00EE35FC">
      <w:r w:rsidRPr="006A5F84">
        <w:separator/>
      </w:r>
    </w:p>
  </w:footnote>
  <w:footnote w:type="continuationSeparator" w:id="0">
    <w:p w14:paraId="35A2E8B4" w14:textId="77777777" w:rsidR="00EE35FC" w:rsidRPr="006A5F84" w:rsidRDefault="00EE35FC">
      <w:r w:rsidRPr="006A5F84">
        <w:continuationSeparator/>
      </w:r>
    </w:p>
  </w:footnote>
  <w:footnote w:id="1">
    <w:p w14:paraId="76E46400" w14:textId="77777777" w:rsidR="00F0405C" w:rsidRPr="00AC0C72" w:rsidRDefault="00F0405C" w:rsidP="00C73F87">
      <w:pPr>
        <w:pStyle w:val="FootnoteText"/>
        <w:rPr>
          <w:lang w:val="en-GB"/>
        </w:rPr>
      </w:pPr>
      <w:r>
        <w:rPr>
          <w:rStyle w:val="FootnoteReference"/>
        </w:rPr>
        <w:footnoteRef/>
      </w:r>
      <w:r w:rsidRPr="009F7E6A">
        <w:rPr>
          <w:lang w:val="en-GB"/>
        </w:rPr>
        <w:t xml:space="preserve"> </w:t>
      </w:r>
      <w:r w:rsidR="00E36C8F" w:rsidRPr="00AC0C72">
        <w:rPr>
          <w:lang w:val="en-GB"/>
        </w:rPr>
        <w:t xml:space="preserve">Such risk assessment is required, for example, </w:t>
      </w:r>
      <w:r w:rsidR="00930AD1" w:rsidRPr="00AC0C72">
        <w:rPr>
          <w:lang w:val="en-GB"/>
        </w:rPr>
        <w:t>when a company is awarded a contract without itself meeting the selection criteria, but relying on the capacity of another company.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55D7C"/>
    <w:multiLevelType w:val="hybridMultilevel"/>
    <w:tmpl w:val="BAB64ED6"/>
    <w:lvl w:ilvl="0" w:tplc="E506CE1A">
      <w:start w:val="1"/>
      <w:numFmt w:val="decimal"/>
      <w:lvlText w:val="%1."/>
      <w:lvlJc w:val="left"/>
      <w:pPr>
        <w:ind w:left="360" w:hanging="360"/>
      </w:pPr>
      <w:rPr>
        <w:rFonts w:hint="default"/>
      </w:rPr>
    </w:lvl>
    <w:lvl w:ilvl="1" w:tplc="E4B6DA76">
      <w:start w:val="1"/>
      <w:numFmt w:val="lowerLetter"/>
      <w:lvlText w:val="%2."/>
      <w:lvlJc w:val="left"/>
      <w:pPr>
        <w:ind w:left="447" w:hanging="360"/>
      </w:pPr>
    </w:lvl>
    <w:lvl w:ilvl="2" w:tplc="0809001B">
      <w:start w:val="1"/>
      <w:numFmt w:val="lowerRoman"/>
      <w:lvlText w:val="%3."/>
      <w:lvlJc w:val="right"/>
      <w:pPr>
        <w:ind w:left="1167" w:hanging="180"/>
      </w:pPr>
    </w:lvl>
    <w:lvl w:ilvl="3" w:tplc="0809000F">
      <w:start w:val="1"/>
      <w:numFmt w:val="decimal"/>
      <w:lvlText w:val="%4."/>
      <w:lvlJc w:val="left"/>
      <w:pPr>
        <w:ind w:left="1887" w:hanging="360"/>
      </w:pPr>
    </w:lvl>
    <w:lvl w:ilvl="4" w:tplc="08090019">
      <w:start w:val="1"/>
      <w:numFmt w:val="lowerLetter"/>
      <w:lvlText w:val="%5."/>
      <w:lvlJc w:val="left"/>
      <w:pPr>
        <w:ind w:left="2607" w:hanging="360"/>
      </w:pPr>
    </w:lvl>
    <w:lvl w:ilvl="5" w:tplc="0809001B" w:tentative="1">
      <w:start w:val="1"/>
      <w:numFmt w:val="lowerRoman"/>
      <w:lvlText w:val="%6."/>
      <w:lvlJc w:val="right"/>
      <w:pPr>
        <w:ind w:left="3327" w:hanging="180"/>
      </w:pPr>
    </w:lvl>
    <w:lvl w:ilvl="6" w:tplc="0809000F" w:tentative="1">
      <w:start w:val="1"/>
      <w:numFmt w:val="decimal"/>
      <w:lvlText w:val="%7."/>
      <w:lvlJc w:val="left"/>
      <w:pPr>
        <w:ind w:left="4047" w:hanging="360"/>
      </w:pPr>
    </w:lvl>
    <w:lvl w:ilvl="7" w:tplc="08090019" w:tentative="1">
      <w:start w:val="1"/>
      <w:numFmt w:val="lowerLetter"/>
      <w:lvlText w:val="%8."/>
      <w:lvlJc w:val="left"/>
      <w:pPr>
        <w:ind w:left="4767" w:hanging="360"/>
      </w:pPr>
    </w:lvl>
    <w:lvl w:ilvl="8" w:tplc="0809001B" w:tentative="1">
      <w:start w:val="1"/>
      <w:numFmt w:val="lowerRoman"/>
      <w:lvlText w:val="%9."/>
      <w:lvlJc w:val="right"/>
      <w:pPr>
        <w:ind w:left="5487" w:hanging="180"/>
      </w:pPr>
    </w:lvl>
  </w:abstractNum>
  <w:abstractNum w:abstractNumId="1"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FE4BEE"/>
    <w:multiLevelType w:val="hybridMultilevel"/>
    <w:tmpl w:val="78E69B44"/>
    <w:lvl w:ilvl="0" w:tplc="0409000F">
      <w:start w:val="1"/>
      <w:numFmt w:val="decimal"/>
      <w:lvlText w:val="%1."/>
      <w:lvlJc w:val="left"/>
      <w:pPr>
        <w:ind w:left="-1088" w:hanging="570"/>
      </w:pPr>
      <w:rPr>
        <w:rFonts w:cs="Times New Roman" w:hint="default"/>
      </w:rPr>
    </w:lvl>
    <w:lvl w:ilvl="1" w:tplc="040C0019" w:tentative="1">
      <w:start w:val="1"/>
      <w:numFmt w:val="lowerLetter"/>
      <w:lvlText w:val="%2."/>
      <w:lvlJc w:val="left"/>
      <w:pPr>
        <w:tabs>
          <w:tab w:val="num" w:pos="-938"/>
        </w:tabs>
        <w:ind w:left="-938" w:hanging="360"/>
      </w:pPr>
      <w:rPr>
        <w:rFonts w:cs="Times New Roman"/>
      </w:rPr>
    </w:lvl>
    <w:lvl w:ilvl="2" w:tplc="040C001B" w:tentative="1">
      <w:start w:val="1"/>
      <w:numFmt w:val="lowerRoman"/>
      <w:lvlText w:val="%3."/>
      <w:lvlJc w:val="right"/>
      <w:pPr>
        <w:tabs>
          <w:tab w:val="num" w:pos="-218"/>
        </w:tabs>
        <w:ind w:left="-218" w:hanging="180"/>
      </w:pPr>
      <w:rPr>
        <w:rFonts w:cs="Times New Roman"/>
      </w:rPr>
    </w:lvl>
    <w:lvl w:ilvl="3" w:tplc="040C000F" w:tentative="1">
      <w:start w:val="1"/>
      <w:numFmt w:val="decimal"/>
      <w:lvlText w:val="%4."/>
      <w:lvlJc w:val="left"/>
      <w:pPr>
        <w:tabs>
          <w:tab w:val="num" w:pos="502"/>
        </w:tabs>
        <w:ind w:left="502" w:hanging="360"/>
      </w:pPr>
      <w:rPr>
        <w:rFonts w:cs="Times New Roman"/>
      </w:rPr>
    </w:lvl>
    <w:lvl w:ilvl="4" w:tplc="040C0019" w:tentative="1">
      <w:start w:val="1"/>
      <w:numFmt w:val="lowerLetter"/>
      <w:lvlText w:val="%5."/>
      <w:lvlJc w:val="left"/>
      <w:pPr>
        <w:tabs>
          <w:tab w:val="num" w:pos="1222"/>
        </w:tabs>
        <w:ind w:left="1222" w:hanging="360"/>
      </w:pPr>
      <w:rPr>
        <w:rFonts w:cs="Times New Roman"/>
      </w:rPr>
    </w:lvl>
    <w:lvl w:ilvl="5" w:tplc="040C001B" w:tentative="1">
      <w:start w:val="1"/>
      <w:numFmt w:val="lowerRoman"/>
      <w:lvlText w:val="%6."/>
      <w:lvlJc w:val="right"/>
      <w:pPr>
        <w:tabs>
          <w:tab w:val="num" w:pos="1942"/>
        </w:tabs>
        <w:ind w:left="1942" w:hanging="180"/>
      </w:pPr>
      <w:rPr>
        <w:rFonts w:cs="Times New Roman"/>
      </w:rPr>
    </w:lvl>
    <w:lvl w:ilvl="6" w:tplc="040C000F" w:tentative="1">
      <w:start w:val="1"/>
      <w:numFmt w:val="decimal"/>
      <w:lvlText w:val="%7."/>
      <w:lvlJc w:val="left"/>
      <w:pPr>
        <w:tabs>
          <w:tab w:val="num" w:pos="2662"/>
        </w:tabs>
        <w:ind w:left="2662" w:hanging="360"/>
      </w:pPr>
      <w:rPr>
        <w:rFonts w:cs="Times New Roman"/>
      </w:rPr>
    </w:lvl>
    <w:lvl w:ilvl="7" w:tplc="040C0019" w:tentative="1">
      <w:start w:val="1"/>
      <w:numFmt w:val="lowerLetter"/>
      <w:lvlText w:val="%8."/>
      <w:lvlJc w:val="left"/>
      <w:pPr>
        <w:tabs>
          <w:tab w:val="num" w:pos="3382"/>
        </w:tabs>
        <w:ind w:left="3382" w:hanging="360"/>
      </w:pPr>
      <w:rPr>
        <w:rFonts w:cs="Times New Roman"/>
      </w:rPr>
    </w:lvl>
    <w:lvl w:ilvl="8" w:tplc="040C001B" w:tentative="1">
      <w:start w:val="1"/>
      <w:numFmt w:val="lowerRoman"/>
      <w:lvlText w:val="%9."/>
      <w:lvlJc w:val="right"/>
      <w:pPr>
        <w:tabs>
          <w:tab w:val="num" w:pos="4102"/>
        </w:tabs>
        <w:ind w:left="4102" w:hanging="180"/>
      </w:pPr>
      <w:rPr>
        <w:rFonts w:cs="Times New Roman"/>
      </w:rPr>
    </w:lvl>
  </w:abstractNum>
  <w:abstractNum w:abstractNumId="3" w15:restartNumberingAfterBreak="0">
    <w:nsid w:val="0CC16B6E"/>
    <w:multiLevelType w:val="hybridMultilevel"/>
    <w:tmpl w:val="60425D30"/>
    <w:lvl w:ilvl="0" w:tplc="E06E9EA2">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9" w15:restartNumberingAfterBreak="0">
    <w:nsid w:val="22DD3599"/>
    <w:multiLevelType w:val="multilevel"/>
    <w:tmpl w:val="4EAA5BA6"/>
    <w:lvl w:ilvl="0">
      <w:start w:val="1"/>
      <w:numFmt w:val="decimal"/>
      <w:pStyle w:val="ListNumber"/>
      <w:lvlText w:val="(%1)"/>
      <w:lvlJc w:val="left"/>
      <w:pPr>
        <w:tabs>
          <w:tab w:val="num" w:pos="1189"/>
        </w:tabs>
        <w:ind w:left="1189" w:hanging="709"/>
      </w:pPr>
    </w:lvl>
    <w:lvl w:ilvl="1">
      <w:start w:val="1"/>
      <w:numFmt w:val="lowerLetter"/>
      <w:pStyle w:val="ListNumberLevel2"/>
      <w:lvlText w:val="(%2)"/>
      <w:lvlJc w:val="left"/>
      <w:pPr>
        <w:tabs>
          <w:tab w:val="num" w:pos="1897"/>
        </w:tabs>
        <w:ind w:left="1897" w:hanging="708"/>
      </w:pPr>
    </w:lvl>
    <w:lvl w:ilvl="2">
      <w:start w:val="1"/>
      <w:numFmt w:val="bullet"/>
      <w:pStyle w:val="ListNumberLevel3"/>
      <w:lvlText w:val="–"/>
      <w:lvlJc w:val="left"/>
      <w:pPr>
        <w:tabs>
          <w:tab w:val="num" w:pos="2606"/>
        </w:tabs>
        <w:ind w:left="2606" w:hanging="709"/>
      </w:pPr>
      <w:rPr>
        <w:rFonts w:ascii="Times New Roman" w:hAnsi="Times New Roman"/>
      </w:rPr>
    </w:lvl>
    <w:lvl w:ilvl="3">
      <w:start w:val="1"/>
      <w:numFmt w:val="bullet"/>
      <w:pStyle w:val="ListNumberLevel4"/>
      <w:lvlText w:val=""/>
      <w:lvlJc w:val="left"/>
      <w:pPr>
        <w:tabs>
          <w:tab w:val="num" w:pos="3315"/>
        </w:tabs>
        <w:ind w:left="3315" w:hanging="709"/>
      </w:pPr>
      <w:rPr>
        <w:rFonts w:ascii="Symbol" w:hAnsi="Symbol"/>
      </w:rPr>
    </w:lvl>
    <w:lvl w:ilvl="4">
      <w:start w:val="1"/>
      <w:numFmt w:val="lowerLetter"/>
      <w:lvlText w:val="(%5)"/>
      <w:lvlJc w:val="left"/>
      <w:pPr>
        <w:tabs>
          <w:tab w:val="num" w:pos="2280"/>
        </w:tabs>
        <w:ind w:left="2280" w:hanging="360"/>
      </w:pPr>
    </w:lvl>
    <w:lvl w:ilvl="5">
      <w:start w:val="1"/>
      <w:numFmt w:val="lowerRoman"/>
      <w:lvlText w:val="(%6)"/>
      <w:lvlJc w:val="left"/>
      <w:pPr>
        <w:tabs>
          <w:tab w:val="num" w:pos="2640"/>
        </w:tabs>
        <w:ind w:left="2640" w:hanging="360"/>
      </w:pPr>
    </w:lvl>
    <w:lvl w:ilvl="6">
      <w:start w:val="1"/>
      <w:numFmt w:val="decimal"/>
      <w:lvlText w:val="%7."/>
      <w:lvlJc w:val="left"/>
      <w:pPr>
        <w:tabs>
          <w:tab w:val="num" w:pos="3000"/>
        </w:tabs>
        <w:ind w:left="3000" w:hanging="360"/>
      </w:pPr>
    </w:lvl>
    <w:lvl w:ilvl="7">
      <w:start w:val="1"/>
      <w:numFmt w:val="lowerLetter"/>
      <w:lvlText w:val="%8."/>
      <w:lvlJc w:val="left"/>
      <w:pPr>
        <w:tabs>
          <w:tab w:val="num" w:pos="3360"/>
        </w:tabs>
        <w:ind w:left="3360" w:hanging="360"/>
      </w:pPr>
    </w:lvl>
    <w:lvl w:ilvl="8">
      <w:start w:val="1"/>
      <w:numFmt w:val="lowerRoman"/>
      <w:lvlText w:val="%9."/>
      <w:lvlJc w:val="left"/>
      <w:pPr>
        <w:tabs>
          <w:tab w:val="num" w:pos="3720"/>
        </w:tabs>
        <w:ind w:left="3720" w:hanging="360"/>
      </w:pPr>
    </w:lvl>
  </w:abstractNum>
  <w:abstractNum w:abstractNumId="10"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563B57"/>
    <w:multiLevelType w:val="multilevel"/>
    <w:tmpl w:val="87C4CB34"/>
    <w:lvl w:ilvl="0">
      <w:numFmt w:val="bullet"/>
      <w:pStyle w:val="StyleHeading1TimesNewRoman14ptItalic"/>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13"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A3E1714"/>
    <w:multiLevelType w:val="hybridMultilevel"/>
    <w:tmpl w:val="E9A27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41E8201F"/>
    <w:multiLevelType w:val="hybridMultilevel"/>
    <w:tmpl w:val="05E21DA6"/>
    <w:lvl w:ilvl="0" w:tplc="B41625E2">
      <w:start w:val="1"/>
      <w:numFmt w:val="bullet"/>
      <w:lvlText w:val="•"/>
      <w:lvlJc w:val="left"/>
      <w:pPr>
        <w:tabs>
          <w:tab w:val="num" w:pos="720"/>
        </w:tabs>
        <w:ind w:left="720" w:hanging="360"/>
      </w:pPr>
      <w:rPr>
        <w:rFonts w:ascii="Times New Roman" w:hAnsi="Times New Roman" w:hint="default"/>
      </w:rPr>
    </w:lvl>
    <w:lvl w:ilvl="1" w:tplc="93407AEE" w:tentative="1">
      <w:start w:val="1"/>
      <w:numFmt w:val="bullet"/>
      <w:lvlText w:val="•"/>
      <w:lvlJc w:val="left"/>
      <w:pPr>
        <w:tabs>
          <w:tab w:val="num" w:pos="1440"/>
        </w:tabs>
        <w:ind w:left="1440" w:hanging="360"/>
      </w:pPr>
      <w:rPr>
        <w:rFonts w:ascii="Times New Roman" w:hAnsi="Times New Roman" w:hint="default"/>
      </w:rPr>
    </w:lvl>
    <w:lvl w:ilvl="2" w:tplc="8D823AE6" w:tentative="1">
      <w:start w:val="1"/>
      <w:numFmt w:val="bullet"/>
      <w:lvlText w:val="•"/>
      <w:lvlJc w:val="left"/>
      <w:pPr>
        <w:tabs>
          <w:tab w:val="num" w:pos="2160"/>
        </w:tabs>
        <w:ind w:left="2160" w:hanging="360"/>
      </w:pPr>
      <w:rPr>
        <w:rFonts w:ascii="Times New Roman" w:hAnsi="Times New Roman" w:hint="default"/>
      </w:rPr>
    </w:lvl>
    <w:lvl w:ilvl="3" w:tplc="F8567FD4" w:tentative="1">
      <w:start w:val="1"/>
      <w:numFmt w:val="bullet"/>
      <w:lvlText w:val="•"/>
      <w:lvlJc w:val="left"/>
      <w:pPr>
        <w:tabs>
          <w:tab w:val="num" w:pos="2880"/>
        </w:tabs>
        <w:ind w:left="2880" w:hanging="360"/>
      </w:pPr>
      <w:rPr>
        <w:rFonts w:ascii="Times New Roman" w:hAnsi="Times New Roman" w:hint="default"/>
      </w:rPr>
    </w:lvl>
    <w:lvl w:ilvl="4" w:tplc="57C0C44A" w:tentative="1">
      <w:start w:val="1"/>
      <w:numFmt w:val="bullet"/>
      <w:lvlText w:val="•"/>
      <w:lvlJc w:val="left"/>
      <w:pPr>
        <w:tabs>
          <w:tab w:val="num" w:pos="3600"/>
        </w:tabs>
        <w:ind w:left="3600" w:hanging="360"/>
      </w:pPr>
      <w:rPr>
        <w:rFonts w:ascii="Times New Roman" w:hAnsi="Times New Roman" w:hint="default"/>
      </w:rPr>
    </w:lvl>
    <w:lvl w:ilvl="5" w:tplc="0158F9A6" w:tentative="1">
      <w:start w:val="1"/>
      <w:numFmt w:val="bullet"/>
      <w:lvlText w:val="•"/>
      <w:lvlJc w:val="left"/>
      <w:pPr>
        <w:tabs>
          <w:tab w:val="num" w:pos="4320"/>
        </w:tabs>
        <w:ind w:left="4320" w:hanging="360"/>
      </w:pPr>
      <w:rPr>
        <w:rFonts w:ascii="Times New Roman" w:hAnsi="Times New Roman" w:hint="default"/>
      </w:rPr>
    </w:lvl>
    <w:lvl w:ilvl="6" w:tplc="141CEE32" w:tentative="1">
      <w:start w:val="1"/>
      <w:numFmt w:val="bullet"/>
      <w:lvlText w:val="•"/>
      <w:lvlJc w:val="left"/>
      <w:pPr>
        <w:tabs>
          <w:tab w:val="num" w:pos="5040"/>
        </w:tabs>
        <w:ind w:left="5040" w:hanging="360"/>
      </w:pPr>
      <w:rPr>
        <w:rFonts w:ascii="Times New Roman" w:hAnsi="Times New Roman" w:hint="default"/>
      </w:rPr>
    </w:lvl>
    <w:lvl w:ilvl="7" w:tplc="73CE163E" w:tentative="1">
      <w:start w:val="1"/>
      <w:numFmt w:val="bullet"/>
      <w:lvlText w:val="•"/>
      <w:lvlJc w:val="left"/>
      <w:pPr>
        <w:tabs>
          <w:tab w:val="num" w:pos="5760"/>
        </w:tabs>
        <w:ind w:left="5760" w:hanging="360"/>
      </w:pPr>
      <w:rPr>
        <w:rFonts w:ascii="Times New Roman" w:hAnsi="Times New Roman" w:hint="default"/>
      </w:rPr>
    </w:lvl>
    <w:lvl w:ilvl="8" w:tplc="C24ED28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3283759"/>
    <w:multiLevelType w:val="hybridMultilevel"/>
    <w:tmpl w:val="2D903908"/>
    <w:lvl w:ilvl="0" w:tplc="F0A6920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68531186"/>
    <w:multiLevelType w:val="hybridMultilevel"/>
    <w:tmpl w:val="8AB492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4"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3"/>
  </w:num>
  <w:num w:numId="3">
    <w:abstractNumId w:val="10"/>
  </w:num>
  <w:num w:numId="4">
    <w:abstractNumId w:val="13"/>
  </w:num>
  <w:num w:numId="5">
    <w:abstractNumId w:val="25"/>
  </w:num>
  <w:num w:numId="6">
    <w:abstractNumId w:val="8"/>
  </w:num>
  <w:num w:numId="7">
    <w:abstractNumId w:val="5"/>
  </w:num>
  <w:num w:numId="8">
    <w:abstractNumId w:val="1"/>
  </w:num>
  <w:num w:numId="9">
    <w:abstractNumId w:val="14"/>
  </w:num>
  <w:num w:numId="10">
    <w:abstractNumId w:val="4"/>
  </w:num>
  <w:num w:numId="11">
    <w:abstractNumId w:val="21"/>
  </w:num>
  <w:num w:numId="12">
    <w:abstractNumId w:val="12"/>
  </w:num>
  <w:num w:numId="13">
    <w:abstractNumId w:val="6"/>
  </w:num>
  <w:num w:numId="14">
    <w:abstractNumId w:val="18"/>
  </w:num>
  <w:num w:numId="15">
    <w:abstractNumId w:val="19"/>
  </w:num>
  <w:num w:numId="16">
    <w:abstractNumId w:val="7"/>
  </w:num>
  <w:num w:numId="17">
    <w:abstractNumId w:val="16"/>
  </w:num>
  <w:num w:numId="18">
    <w:abstractNumId w:val="9"/>
  </w:num>
  <w:num w:numId="19">
    <w:abstractNumId w:val="3"/>
  </w:num>
  <w:num w:numId="20">
    <w:abstractNumId w:val="22"/>
  </w:num>
  <w:num w:numId="21">
    <w:abstractNumId w:val="17"/>
  </w:num>
  <w:num w:numId="22">
    <w:abstractNumId w:val="15"/>
  </w:num>
  <w:num w:numId="23">
    <w:abstractNumId w:val="0"/>
  </w:num>
  <w:num w:numId="24">
    <w:abstractNumId w:val="20"/>
  </w:num>
  <w:num w:numId="25">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 w:name="Stamp" w:val="\\dossiers.dgt.cec.eu.int\dossiers\DEVCO\DEVCO-2011-00112\DEVCO-2011-00112-01-04-EN-REV-00.DOC"/>
  </w:docVars>
  <w:rsids>
    <w:rsidRoot w:val="0073450F"/>
    <w:rsid w:val="000021E1"/>
    <w:rsid w:val="0000334D"/>
    <w:rsid w:val="00007C5B"/>
    <w:rsid w:val="000270F2"/>
    <w:rsid w:val="00032BC3"/>
    <w:rsid w:val="00035D61"/>
    <w:rsid w:val="00040153"/>
    <w:rsid w:val="00040CF1"/>
    <w:rsid w:val="00041516"/>
    <w:rsid w:val="000417E2"/>
    <w:rsid w:val="00043159"/>
    <w:rsid w:val="0004517D"/>
    <w:rsid w:val="00051DD7"/>
    <w:rsid w:val="00056EAA"/>
    <w:rsid w:val="000574F3"/>
    <w:rsid w:val="00062BA9"/>
    <w:rsid w:val="00063C56"/>
    <w:rsid w:val="000665DF"/>
    <w:rsid w:val="00066958"/>
    <w:rsid w:val="00066CBA"/>
    <w:rsid w:val="000714BB"/>
    <w:rsid w:val="000724EA"/>
    <w:rsid w:val="0007671B"/>
    <w:rsid w:val="00085CA1"/>
    <w:rsid w:val="00087F35"/>
    <w:rsid w:val="0009286D"/>
    <w:rsid w:val="0009746B"/>
    <w:rsid w:val="000A1A71"/>
    <w:rsid w:val="000A3B36"/>
    <w:rsid w:val="000A6371"/>
    <w:rsid w:val="000A7A2C"/>
    <w:rsid w:val="000B0983"/>
    <w:rsid w:val="000B1236"/>
    <w:rsid w:val="000B46A8"/>
    <w:rsid w:val="000B79F6"/>
    <w:rsid w:val="000C4AE6"/>
    <w:rsid w:val="000C709A"/>
    <w:rsid w:val="000D24E3"/>
    <w:rsid w:val="000D2B44"/>
    <w:rsid w:val="000D40DB"/>
    <w:rsid w:val="000E7B75"/>
    <w:rsid w:val="000F1339"/>
    <w:rsid w:val="000F5F5F"/>
    <w:rsid w:val="001020D9"/>
    <w:rsid w:val="00103348"/>
    <w:rsid w:val="00103913"/>
    <w:rsid w:val="001064CD"/>
    <w:rsid w:val="0010712E"/>
    <w:rsid w:val="0011156A"/>
    <w:rsid w:val="00111B28"/>
    <w:rsid w:val="00115916"/>
    <w:rsid w:val="00115A3D"/>
    <w:rsid w:val="00117ADA"/>
    <w:rsid w:val="001207A4"/>
    <w:rsid w:val="00121DE4"/>
    <w:rsid w:val="00125588"/>
    <w:rsid w:val="0012677D"/>
    <w:rsid w:val="001268B7"/>
    <w:rsid w:val="001273A0"/>
    <w:rsid w:val="001302A7"/>
    <w:rsid w:val="001320DF"/>
    <w:rsid w:val="00144E89"/>
    <w:rsid w:val="0014659F"/>
    <w:rsid w:val="00150767"/>
    <w:rsid w:val="00150EC7"/>
    <w:rsid w:val="001515E4"/>
    <w:rsid w:val="001536B3"/>
    <w:rsid w:val="00154A06"/>
    <w:rsid w:val="00154F15"/>
    <w:rsid w:val="00155623"/>
    <w:rsid w:val="00157C6D"/>
    <w:rsid w:val="00157DEE"/>
    <w:rsid w:val="001645AC"/>
    <w:rsid w:val="00164F15"/>
    <w:rsid w:val="0016752D"/>
    <w:rsid w:val="00167C52"/>
    <w:rsid w:val="001766D9"/>
    <w:rsid w:val="00177A94"/>
    <w:rsid w:val="00180E2D"/>
    <w:rsid w:val="00181980"/>
    <w:rsid w:val="00184144"/>
    <w:rsid w:val="001859A5"/>
    <w:rsid w:val="001864B6"/>
    <w:rsid w:val="00187253"/>
    <w:rsid w:val="00190077"/>
    <w:rsid w:val="001932AF"/>
    <w:rsid w:val="001937B4"/>
    <w:rsid w:val="001A6941"/>
    <w:rsid w:val="001A6C79"/>
    <w:rsid w:val="001B4DA9"/>
    <w:rsid w:val="001B5454"/>
    <w:rsid w:val="001B55AC"/>
    <w:rsid w:val="001C709F"/>
    <w:rsid w:val="001C75B0"/>
    <w:rsid w:val="001D0532"/>
    <w:rsid w:val="001D1EB9"/>
    <w:rsid w:val="001D20C7"/>
    <w:rsid w:val="001D339B"/>
    <w:rsid w:val="001E2362"/>
    <w:rsid w:val="001E4648"/>
    <w:rsid w:val="001F410B"/>
    <w:rsid w:val="001F5048"/>
    <w:rsid w:val="001F5421"/>
    <w:rsid w:val="00200A60"/>
    <w:rsid w:val="002012E1"/>
    <w:rsid w:val="002077B6"/>
    <w:rsid w:val="00211229"/>
    <w:rsid w:val="00211E0F"/>
    <w:rsid w:val="00216ADC"/>
    <w:rsid w:val="00216F0D"/>
    <w:rsid w:val="002209F1"/>
    <w:rsid w:val="00220BF7"/>
    <w:rsid w:val="00224C44"/>
    <w:rsid w:val="00225CDC"/>
    <w:rsid w:val="00227A8C"/>
    <w:rsid w:val="00230AB3"/>
    <w:rsid w:val="00240B1F"/>
    <w:rsid w:val="002426D3"/>
    <w:rsid w:val="0024425D"/>
    <w:rsid w:val="002442B7"/>
    <w:rsid w:val="002455C7"/>
    <w:rsid w:val="0025137A"/>
    <w:rsid w:val="002543D5"/>
    <w:rsid w:val="002560BB"/>
    <w:rsid w:val="002561C8"/>
    <w:rsid w:val="00256304"/>
    <w:rsid w:val="00256CB2"/>
    <w:rsid w:val="0026542C"/>
    <w:rsid w:val="00271700"/>
    <w:rsid w:val="00272A7B"/>
    <w:rsid w:val="00277BEB"/>
    <w:rsid w:val="0028364A"/>
    <w:rsid w:val="00283AC4"/>
    <w:rsid w:val="00290561"/>
    <w:rsid w:val="00294190"/>
    <w:rsid w:val="00297C14"/>
    <w:rsid w:val="002A0041"/>
    <w:rsid w:val="002A651B"/>
    <w:rsid w:val="002A6DB8"/>
    <w:rsid w:val="002B04FF"/>
    <w:rsid w:val="002B6401"/>
    <w:rsid w:val="002C649A"/>
    <w:rsid w:val="002C74BB"/>
    <w:rsid w:val="002D0CE1"/>
    <w:rsid w:val="002D1FCC"/>
    <w:rsid w:val="002D2D27"/>
    <w:rsid w:val="002D2FC0"/>
    <w:rsid w:val="002D34D3"/>
    <w:rsid w:val="002D6EED"/>
    <w:rsid w:val="002E5532"/>
    <w:rsid w:val="002F0BB0"/>
    <w:rsid w:val="002F1222"/>
    <w:rsid w:val="00304BBA"/>
    <w:rsid w:val="00322263"/>
    <w:rsid w:val="00324259"/>
    <w:rsid w:val="0032469B"/>
    <w:rsid w:val="003308C6"/>
    <w:rsid w:val="0033212F"/>
    <w:rsid w:val="003323F5"/>
    <w:rsid w:val="003330F8"/>
    <w:rsid w:val="0033341B"/>
    <w:rsid w:val="00335E06"/>
    <w:rsid w:val="003409B8"/>
    <w:rsid w:val="003439C4"/>
    <w:rsid w:val="00347B7E"/>
    <w:rsid w:val="003502E9"/>
    <w:rsid w:val="00351351"/>
    <w:rsid w:val="00360344"/>
    <w:rsid w:val="003613D2"/>
    <w:rsid w:val="00361AE1"/>
    <w:rsid w:val="0036422F"/>
    <w:rsid w:val="00371851"/>
    <w:rsid w:val="00371F01"/>
    <w:rsid w:val="003721AD"/>
    <w:rsid w:val="00372540"/>
    <w:rsid w:val="00382640"/>
    <w:rsid w:val="0038357E"/>
    <w:rsid w:val="00384BAB"/>
    <w:rsid w:val="00384BFF"/>
    <w:rsid w:val="00385FFC"/>
    <w:rsid w:val="00387C56"/>
    <w:rsid w:val="003915CC"/>
    <w:rsid w:val="00391C12"/>
    <w:rsid w:val="003925E9"/>
    <w:rsid w:val="00395823"/>
    <w:rsid w:val="003A1309"/>
    <w:rsid w:val="003A431E"/>
    <w:rsid w:val="003C084D"/>
    <w:rsid w:val="003C7266"/>
    <w:rsid w:val="003D2078"/>
    <w:rsid w:val="003D3CAA"/>
    <w:rsid w:val="003D625C"/>
    <w:rsid w:val="003D6B6C"/>
    <w:rsid w:val="003D7611"/>
    <w:rsid w:val="003E7C71"/>
    <w:rsid w:val="003F2FA4"/>
    <w:rsid w:val="003F3B51"/>
    <w:rsid w:val="003F7AF5"/>
    <w:rsid w:val="003F7DB7"/>
    <w:rsid w:val="0040221E"/>
    <w:rsid w:val="00403DCC"/>
    <w:rsid w:val="0040595A"/>
    <w:rsid w:val="00405C5F"/>
    <w:rsid w:val="004072FA"/>
    <w:rsid w:val="00407C90"/>
    <w:rsid w:val="00407D3B"/>
    <w:rsid w:val="00413147"/>
    <w:rsid w:val="0041345E"/>
    <w:rsid w:val="004158A1"/>
    <w:rsid w:val="00415CCD"/>
    <w:rsid w:val="00417570"/>
    <w:rsid w:val="00420666"/>
    <w:rsid w:val="004300D4"/>
    <w:rsid w:val="0043157A"/>
    <w:rsid w:val="004316F0"/>
    <w:rsid w:val="00432F7A"/>
    <w:rsid w:val="00441859"/>
    <w:rsid w:val="00445A75"/>
    <w:rsid w:val="004476EF"/>
    <w:rsid w:val="004520DC"/>
    <w:rsid w:val="0045310F"/>
    <w:rsid w:val="00454E0D"/>
    <w:rsid w:val="004554CB"/>
    <w:rsid w:val="0045678B"/>
    <w:rsid w:val="004607CD"/>
    <w:rsid w:val="00463E3C"/>
    <w:rsid w:val="00474AF3"/>
    <w:rsid w:val="004775D2"/>
    <w:rsid w:val="00477689"/>
    <w:rsid w:val="0047783A"/>
    <w:rsid w:val="00483E26"/>
    <w:rsid w:val="0049088E"/>
    <w:rsid w:val="0049293D"/>
    <w:rsid w:val="00494168"/>
    <w:rsid w:val="004A0140"/>
    <w:rsid w:val="004A0895"/>
    <w:rsid w:val="004A101E"/>
    <w:rsid w:val="004A6563"/>
    <w:rsid w:val="004A7ED9"/>
    <w:rsid w:val="004A7F6C"/>
    <w:rsid w:val="004B6CB1"/>
    <w:rsid w:val="004B7463"/>
    <w:rsid w:val="004C270A"/>
    <w:rsid w:val="004C35B5"/>
    <w:rsid w:val="004C3C82"/>
    <w:rsid w:val="004C77A2"/>
    <w:rsid w:val="004D2FD8"/>
    <w:rsid w:val="004D33C9"/>
    <w:rsid w:val="004E0052"/>
    <w:rsid w:val="004E43B2"/>
    <w:rsid w:val="004E6C5D"/>
    <w:rsid w:val="004F5C57"/>
    <w:rsid w:val="004F7A0E"/>
    <w:rsid w:val="005005D7"/>
    <w:rsid w:val="00501FF0"/>
    <w:rsid w:val="005047E0"/>
    <w:rsid w:val="00507BA0"/>
    <w:rsid w:val="00513C6F"/>
    <w:rsid w:val="00515D85"/>
    <w:rsid w:val="00516552"/>
    <w:rsid w:val="0052175F"/>
    <w:rsid w:val="00526D34"/>
    <w:rsid w:val="00530948"/>
    <w:rsid w:val="00532398"/>
    <w:rsid w:val="0053480C"/>
    <w:rsid w:val="00535826"/>
    <w:rsid w:val="00536B4A"/>
    <w:rsid w:val="00537189"/>
    <w:rsid w:val="00551543"/>
    <w:rsid w:val="00554164"/>
    <w:rsid w:val="00555F46"/>
    <w:rsid w:val="00556923"/>
    <w:rsid w:val="005634B2"/>
    <w:rsid w:val="00563662"/>
    <w:rsid w:val="00563669"/>
    <w:rsid w:val="00575CB0"/>
    <w:rsid w:val="005772F7"/>
    <w:rsid w:val="00582894"/>
    <w:rsid w:val="00583FF3"/>
    <w:rsid w:val="00584F28"/>
    <w:rsid w:val="00586D6C"/>
    <w:rsid w:val="00591F23"/>
    <w:rsid w:val="005921FA"/>
    <w:rsid w:val="00593430"/>
    <w:rsid w:val="00593550"/>
    <w:rsid w:val="005B0129"/>
    <w:rsid w:val="005B083F"/>
    <w:rsid w:val="005B2018"/>
    <w:rsid w:val="005B3CAB"/>
    <w:rsid w:val="005C0EA1"/>
    <w:rsid w:val="005C36B8"/>
    <w:rsid w:val="005C7DD4"/>
    <w:rsid w:val="005D0163"/>
    <w:rsid w:val="005D03AA"/>
    <w:rsid w:val="005D05B0"/>
    <w:rsid w:val="005D1969"/>
    <w:rsid w:val="005D72F7"/>
    <w:rsid w:val="005F3C51"/>
    <w:rsid w:val="005F62D0"/>
    <w:rsid w:val="00611A73"/>
    <w:rsid w:val="006219A1"/>
    <w:rsid w:val="00623AB3"/>
    <w:rsid w:val="006311FE"/>
    <w:rsid w:val="0063123B"/>
    <w:rsid w:val="00633829"/>
    <w:rsid w:val="00636E8F"/>
    <w:rsid w:val="00637C8F"/>
    <w:rsid w:val="006408AC"/>
    <w:rsid w:val="00640D24"/>
    <w:rsid w:val="00642E75"/>
    <w:rsid w:val="00655A60"/>
    <w:rsid w:val="00661B3C"/>
    <w:rsid w:val="0066519D"/>
    <w:rsid w:val="00670223"/>
    <w:rsid w:val="00677500"/>
    <w:rsid w:val="0068247E"/>
    <w:rsid w:val="00684801"/>
    <w:rsid w:val="006858D9"/>
    <w:rsid w:val="00686ACD"/>
    <w:rsid w:val="00686E07"/>
    <w:rsid w:val="006917B2"/>
    <w:rsid w:val="00692095"/>
    <w:rsid w:val="00695007"/>
    <w:rsid w:val="006A5F84"/>
    <w:rsid w:val="006B0AB1"/>
    <w:rsid w:val="006B145B"/>
    <w:rsid w:val="006C2F05"/>
    <w:rsid w:val="006C513D"/>
    <w:rsid w:val="006D3BA1"/>
    <w:rsid w:val="006D3DE4"/>
    <w:rsid w:val="006D5CEE"/>
    <w:rsid w:val="006E5450"/>
    <w:rsid w:val="006E54F2"/>
    <w:rsid w:val="006E56FD"/>
    <w:rsid w:val="006E5B49"/>
    <w:rsid w:val="006E6880"/>
    <w:rsid w:val="006F43E5"/>
    <w:rsid w:val="006F596C"/>
    <w:rsid w:val="00703B91"/>
    <w:rsid w:val="00704477"/>
    <w:rsid w:val="00711C72"/>
    <w:rsid w:val="0071243A"/>
    <w:rsid w:val="00713AA2"/>
    <w:rsid w:val="00720587"/>
    <w:rsid w:val="00722016"/>
    <w:rsid w:val="00723BF1"/>
    <w:rsid w:val="00724C93"/>
    <w:rsid w:val="00724D0C"/>
    <w:rsid w:val="00725082"/>
    <w:rsid w:val="0073450F"/>
    <w:rsid w:val="007520CA"/>
    <w:rsid w:val="0075384B"/>
    <w:rsid w:val="007552DC"/>
    <w:rsid w:val="00760195"/>
    <w:rsid w:val="007625F7"/>
    <w:rsid w:val="00763299"/>
    <w:rsid w:val="00763B1C"/>
    <w:rsid w:val="007666CD"/>
    <w:rsid w:val="00775F12"/>
    <w:rsid w:val="00776BF7"/>
    <w:rsid w:val="00777E99"/>
    <w:rsid w:val="007858B9"/>
    <w:rsid w:val="00790130"/>
    <w:rsid w:val="00792A1B"/>
    <w:rsid w:val="00794EE6"/>
    <w:rsid w:val="00797C04"/>
    <w:rsid w:val="007A0045"/>
    <w:rsid w:val="007A1101"/>
    <w:rsid w:val="007A3D34"/>
    <w:rsid w:val="007A6AF5"/>
    <w:rsid w:val="007B4853"/>
    <w:rsid w:val="007B65DB"/>
    <w:rsid w:val="007C0BDD"/>
    <w:rsid w:val="007C1656"/>
    <w:rsid w:val="007C75E0"/>
    <w:rsid w:val="007D5FA2"/>
    <w:rsid w:val="007E0CD5"/>
    <w:rsid w:val="007E36E3"/>
    <w:rsid w:val="007E3D5F"/>
    <w:rsid w:val="007F4988"/>
    <w:rsid w:val="007F55C7"/>
    <w:rsid w:val="007F5DDE"/>
    <w:rsid w:val="007F6802"/>
    <w:rsid w:val="0080623C"/>
    <w:rsid w:val="00806CE0"/>
    <w:rsid w:val="00811F58"/>
    <w:rsid w:val="0081418B"/>
    <w:rsid w:val="008201BB"/>
    <w:rsid w:val="008214E2"/>
    <w:rsid w:val="008227A5"/>
    <w:rsid w:val="00822E7E"/>
    <w:rsid w:val="008272ED"/>
    <w:rsid w:val="00830BE9"/>
    <w:rsid w:val="00833EBD"/>
    <w:rsid w:val="008413B3"/>
    <w:rsid w:val="008428B9"/>
    <w:rsid w:val="00853F9D"/>
    <w:rsid w:val="00855409"/>
    <w:rsid w:val="0085667F"/>
    <w:rsid w:val="00861656"/>
    <w:rsid w:val="008617F3"/>
    <w:rsid w:val="0086688D"/>
    <w:rsid w:val="00866B17"/>
    <w:rsid w:val="00870FD6"/>
    <w:rsid w:val="00872DA7"/>
    <w:rsid w:val="008733D3"/>
    <w:rsid w:val="008808CB"/>
    <w:rsid w:val="00882C83"/>
    <w:rsid w:val="0088419E"/>
    <w:rsid w:val="008847D1"/>
    <w:rsid w:val="00884DDE"/>
    <w:rsid w:val="00885882"/>
    <w:rsid w:val="008859E6"/>
    <w:rsid w:val="008870C9"/>
    <w:rsid w:val="008923B0"/>
    <w:rsid w:val="00892CE9"/>
    <w:rsid w:val="008934F5"/>
    <w:rsid w:val="008A048D"/>
    <w:rsid w:val="008A0660"/>
    <w:rsid w:val="008A39B7"/>
    <w:rsid w:val="008A6DE2"/>
    <w:rsid w:val="008C4E79"/>
    <w:rsid w:val="008C5A40"/>
    <w:rsid w:val="008C5DAA"/>
    <w:rsid w:val="008D065E"/>
    <w:rsid w:val="008E40E2"/>
    <w:rsid w:val="008E5F59"/>
    <w:rsid w:val="008E7A2D"/>
    <w:rsid w:val="008F3866"/>
    <w:rsid w:val="008F4FF6"/>
    <w:rsid w:val="009143FD"/>
    <w:rsid w:val="00920A51"/>
    <w:rsid w:val="00922542"/>
    <w:rsid w:val="00923EDA"/>
    <w:rsid w:val="009251E3"/>
    <w:rsid w:val="00925DBE"/>
    <w:rsid w:val="00930AD1"/>
    <w:rsid w:val="009352CA"/>
    <w:rsid w:val="0093582A"/>
    <w:rsid w:val="0094670B"/>
    <w:rsid w:val="00950B0C"/>
    <w:rsid w:val="0097513D"/>
    <w:rsid w:val="00980A42"/>
    <w:rsid w:val="00986B1E"/>
    <w:rsid w:val="009976B3"/>
    <w:rsid w:val="009A0E33"/>
    <w:rsid w:val="009A3792"/>
    <w:rsid w:val="009A3A53"/>
    <w:rsid w:val="009A4F18"/>
    <w:rsid w:val="009B0CF1"/>
    <w:rsid w:val="009B1FBF"/>
    <w:rsid w:val="009B2F1F"/>
    <w:rsid w:val="009B422E"/>
    <w:rsid w:val="009B4D6F"/>
    <w:rsid w:val="009B5A6D"/>
    <w:rsid w:val="009B71DF"/>
    <w:rsid w:val="009C0E86"/>
    <w:rsid w:val="009D2938"/>
    <w:rsid w:val="009D6A3D"/>
    <w:rsid w:val="009E4F6E"/>
    <w:rsid w:val="009E6BB7"/>
    <w:rsid w:val="009F22C3"/>
    <w:rsid w:val="009F3126"/>
    <w:rsid w:val="009F7E6A"/>
    <w:rsid w:val="00A039CA"/>
    <w:rsid w:val="00A04004"/>
    <w:rsid w:val="00A11F12"/>
    <w:rsid w:val="00A1746F"/>
    <w:rsid w:val="00A17891"/>
    <w:rsid w:val="00A2645C"/>
    <w:rsid w:val="00A41B28"/>
    <w:rsid w:val="00A5099A"/>
    <w:rsid w:val="00A512A5"/>
    <w:rsid w:val="00A512C9"/>
    <w:rsid w:val="00A539E4"/>
    <w:rsid w:val="00A56046"/>
    <w:rsid w:val="00A62073"/>
    <w:rsid w:val="00A63E3C"/>
    <w:rsid w:val="00A65F76"/>
    <w:rsid w:val="00A665A2"/>
    <w:rsid w:val="00A75650"/>
    <w:rsid w:val="00A76A6E"/>
    <w:rsid w:val="00A845B1"/>
    <w:rsid w:val="00A87E3D"/>
    <w:rsid w:val="00A90875"/>
    <w:rsid w:val="00A91294"/>
    <w:rsid w:val="00A9597C"/>
    <w:rsid w:val="00AA24A4"/>
    <w:rsid w:val="00AA4766"/>
    <w:rsid w:val="00AA4A7E"/>
    <w:rsid w:val="00AA5BB2"/>
    <w:rsid w:val="00AB26E0"/>
    <w:rsid w:val="00AB29A9"/>
    <w:rsid w:val="00AB3A36"/>
    <w:rsid w:val="00AB3AB0"/>
    <w:rsid w:val="00AB5ED5"/>
    <w:rsid w:val="00AB66A5"/>
    <w:rsid w:val="00AC0C72"/>
    <w:rsid w:val="00AC1107"/>
    <w:rsid w:val="00AC15E1"/>
    <w:rsid w:val="00AC2621"/>
    <w:rsid w:val="00AC5207"/>
    <w:rsid w:val="00AC7636"/>
    <w:rsid w:val="00AC7EEC"/>
    <w:rsid w:val="00AD1A3A"/>
    <w:rsid w:val="00AE0E38"/>
    <w:rsid w:val="00AE5192"/>
    <w:rsid w:val="00AE5504"/>
    <w:rsid w:val="00AE6600"/>
    <w:rsid w:val="00AE7D13"/>
    <w:rsid w:val="00AF4052"/>
    <w:rsid w:val="00AF47CA"/>
    <w:rsid w:val="00B003F6"/>
    <w:rsid w:val="00B0538B"/>
    <w:rsid w:val="00B07102"/>
    <w:rsid w:val="00B1165D"/>
    <w:rsid w:val="00B12EB5"/>
    <w:rsid w:val="00B17A53"/>
    <w:rsid w:val="00B207DB"/>
    <w:rsid w:val="00B22470"/>
    <w:rsid w:val="00B2499C"/>
    <w:rsid w:val="00B2529B"/>
    <w:rsid w:val="00B277E4"/>
    <w:rsid w:val="00B30528"/>
    <w:rsid w:val="00B3168E"/>
    <w:rsid w:val="00B34179"/>
    <w:rsid w:val="00B44B08"/>
    <w:rsid w:val="00B44DC5"/>
    <w:rsid w:val="00B4772C"/>
    <w:rsid w:val="00B51209"/>
    <w:rsid w:val="00B569B1"/>
    <w:rsid w:val="00B576E1"/>
    <w:rsid w:val="00B57BB8"/>
    <w:rsid w:val="00B605B6"/>
    <w:rsid w:val="00B61CED"/>
    <w:rsid w:val="00B63280"/>
    <w:rsid w:val="00B70C0E"/>
    <w:rsid w:val="00B7329A"/>
    <w:rsid w:val="00B80DE8"/>
    <w:rsid w:val="00B8161D"/>
    <w:rsid w:val="00B84EBC"/>
    <w:rsid w:val="00B90A17"/>
    <w:rsid w:val="00B90C14"/>
    <w:rsid w:val="00B9316C"/>
    <w:rsid w:val="00B965CD"/>
    <w:rsid w:val="00B9691D"/>
    <w:rsid w:val="00BA3B1A"/>
    <w:rsid w:val="00BA70CB"/>
    <w:rsid w:val="00BB2075"/>
    <w:rsid w:val="00BB56D3"/>
    <w:rsid w:val="00BC0A51"/>
    <w:rsid w:val="00BC3B75"/>
    <w:rsid w:val="00BC3D17"/>
    <w:rsid w:val="00BC6222"/>
    <w:rsid w:val="00BC743F"/>
    <w:rsid w:val="00BD1306"/>
    <w:rsid w:val="00BD19BA"/>
    <w:rsid w:val="00BD201F"/>
    <w:rsid w:val="00BD2F43"/>
    <w:rsid w:val="00BD3371"/>
    <w:rsid w:val="00BD72C6"/>
    <w:rsid w:val="00BE3FDF"/>
    <w:rsid w:val="00BF1A9A"/>
    <w:rsid w:val="00C12AF0"/>
    <w:rsid w:val="00C13C29"/>
    <w:rsid w:val="00C1524D"/>
    <w:rsid w:val="00C17310"/>
    <w:rsid w:val="00C20179"/>
    <w:rsid w:val="00C20F71"/>
    <w:rsid w:val="00C25A8A"/>
    <w:rsid w:val="00C302E1"/>
    <w:rsid w:val="00C3235B"/>
    <w:rsid w:val="00C34E40"/>
    <w:rsid w:val="00C41328"/>
    <w:rsid w:val="00C41919"/>
    <w:rsid w:val="00C45D2B"/>
    <w:rsid w:val="00C52305"/>
    <w:rsid w:val="00C60784"/>
    <w:rsid w:val="00C61312"/>
    <w:rsid w:val="00C70783"/>
    <w:rsid w:val="00C720C8"/>
    <w:rsid w:val="00C73AAE"/>
    <w:rsid w:val="00C73F87"/>
    <w:rsid w:val="00C75CCE"/>
    <w:rsid w:val="00C778A1"/>
    <w:rsid w:val="00C80DCF"/>
    <w:rsid w:val="00C8298B"/>
    <w:rsid w:val="00C846C9"/>
    <w:rsid w:val="00C86724"/>
    <w:rsid w:val="00C92434"/>
    <w:rsid w:val="00C94A76"/>
    <w:rsid w:val="00C95838"/>
    <w:rsid w:val="00CA1354"/>
    <w:rsid w:val="00CA3F76"/>
    <w:rsid w:val="00CA6C68"/>
    <w:rsid w:val="00CB6BA1"/>
    <w:rsid w:val="00CC2CB6"/>
    <w:rsid w:val="00CC7DE2"/>
    <w:rsid w:val="00CD68C0"/>
    <w:rsid w:val="00CD6FC9"/>
    <w:rsid w:val="00CD7F25"/>
    <w:rsid w:val="00CF2DE2"/>
    <w:rsid w:val="00CF30C4"/>
    <w:rsid w:val="00CF6CFA"/>
    <w:rsid w:val="00D001B7"/>
    <w:rsid w:val="00D02E23"/>
    <w:rsid w:val="00D11009"/>
    <w:rsid w:val="00D131B2"/>
    <w:rsid w:val="00D168A7"/>
    <w:rsid w:val="00D23D4C"/>
    <w:rsid w:val="00D243E7"/>
    <w:rsid w:val="00D24469"/>
    <w:rsid w:val="00D24893"/>
    <w:rsid w:val="00D25711"/>
    <w:rsid w:val="00D312D2"/>
    <w:rsid w:val="00D341B7"/>
    <w:rsid w:val="00D360F2"/>
    <w:rsid w:val="00D43612"/>
    <w:rsid w:val="00D4393D"/>
    <w:rsid w:val="00D52CBF"/>
    <w:rsid w:val="00D541A5"/>
    <w:rsid w:val="00D576CA"/>
    <w:rsid w:val="00D60913"/>
    <w:rsid w:val="00D662AA"/>
    <w:rsid w:val="00D66F04"/>
    <w:rsid w:val="00D678AC"/>
    <w:rsid w:val="00D71AF3"/>
    <w:rsid w:val="00D75213"/>
    <w:rsid w:val="00D75E7A"/>
    <w:rsid w:val="00D82847"/>
    <w:rsid w:val="00D83918"/>
    <w:rsid w:val="00D83D1B"/>
    <w:rsid w:val="00D86B5F"/>
    <w:rsid w:val="00D87E38"/>
    <w:rsid w:val="00D90043"/>
    <w:rsid w:val="00D91D64"/>
    <w:rsid w:val="00D93DB5"/>
    <w:rsid w:val="00D979C6"/>
    <w:rsid w:val="00DA4AB8"/>
    <w:rsid w:val="00DA6B08"/>
    <w:rsid w:val="00DB2CEF"/>
    <w:rsid w:val="00DC50E2"/>
    <w:rsid w:val="00DC54A0"/>
    <w:rsid w:val="00DC6C9C"/>
    <w:rsid w:val="00DD0624"/>
    <w:rsid w:val="00DD13B0"/>
    <w:rsid w:val="00DD2B6E"/>
    <w:rsid w:val="00DD5838"/>
    <w:rsid w:val="00DE13B8"/>
    <w:rsid w:val="00DE7055"/>
    <w:rsid w:val="00DE71AB"/>
    <w:rsid w:val="00DF7145"/>
    <w:rsid w:val="00DF7327"/>
    <w:rsid w:val="00DF7EE0"/>
    <w:rsid w:val="00E0295D"/>
    <w:rsid w:val="00E0396B"/>
    <w:rsid w:val="00E13CDE"/>
    <w:rsid w:val="00E14817"/>
    <w:rsid w:val="00E2190B"/>
    <w:rsid w:val="00E219CD"/>
    <w:rsid w:val="00E2682A"/>
    <w:rsid w:val="00E27678"/>
    <w:rsid w:val="00E33D2D"/>
    <w:rsid w:val="00E340A7"/>
    <w:rsid w:val="00E34208"/>
    <w:rsid w:val="00E36C8F"/>
    <w:rsid w:val="00E37290"/>
    <w:rsid w:val="00E37A55"/>
    <w:rsid w:val="00E37E11"/>
    <w:rsid w:val="00E41C6F"/>
    <w:rsid w:val="00E46AA5"/>
    <w:rsid w:val="00E52467"/>
    <w:rsid w:val="00E52D98"/>
    <w:rsid w:val="00E5499A"/>
    <w:rsid w:val="00E54B1B"/>
    <w:rsid w:val="00E571E1"/>
    <w:rsid w:val="00E60A37"/>
    <w:rsid w:val="00E62221"/>
    <w:rsid w:val="00E62923"/>
    <w:rsid w:val="00E653F0"/>
    <w:rsid w:val="00E66C96"/>
    <w:rsid w:val="00E730A5"/>
    <w:rsid w:val="00E76535"/>
    <w:rsid w:val="00E811F3"/>
    <w:rsid w:val="00E85F91"/>
    <w:rsid w:val="00E87734"/>
    <w:rsid w:val="00EA3CA6"/>
    <w:rsid w:val="00EA63E1"/>
    <w:rsid w:val="00EB2C4D"/>
    <w:rsid w:val="00EB32E9"/>
    <w:rsid w:val="00EB3F46"/>
    <w:rsid w:val="00EB45CB"/>
    <w:rsid w:val="00EB78F4"/>
    <w:rsid w:val="00EC51B6"/>
    <w:rsid w:val="00EE0ED9"/>
    <w:rsid w:val="00EE23B1"/>
    <w:rsid w:val="00EE2E55"/>
    <w:rsid w:val="00EE35FC"/>
    <w:rsid w:val="00EE456E"/>
    <w:rsid w:val="00EF1C05"/>
    <w:rsid w:val="00EF3951"/>
    <w:rsid w:val="00EF6426"/>
    <w:rsid w:val="00EF6552"/>
    <w:rsid w:val="00F017DE"/>
    <w:rsid w:val="00F02006"/>
    <w:rsid w:val="00F0405C"/>
    <w:rsid w:val="00F0574A"/>
    <w:rsid w:val="00F16179"/>
    <w:rsid w:val="00F215D8"/>
    <w:rsid w:val="00F26008"/>
    <w:rsid w:val="00F30624"/>
    <w:rsid w:val="00F33149"/>
    <w:rsid w:val="00F33605"/>
    <w:rsid w:val="00F33A99"/>
    <w:rsid w:val="00F355C1"/>
    <w:rsid w:val="00F35D21"/>
    <w:rsid w:val="00F4288C"/>
    <w:rsid w:val="00F4528C"/>
    <w:rsid w:val="00F51D3D"/>
    <w:rsid w:val="00F56D4C"/>
    <w:rsid w:val="00F60098"/>
    <w:rsid w:val="00F658F3"/>
    <w:rsid w:val="00F671B9"/>
    <w:rsid w:val="00F67486"/>
    <w:rsid w:val="00F676D0"/>
    <w:rsid w:val="00F67C74"/>
    <w:rsid w:val="00F70353"/>
    <w:rsid w:val="00F72977"/>
    <w:rsid w:val="00F75F46"/>
    <w:rsid w:val="00F8016B"/>
    <w:rsid w:val="00F804E1"/>
    <w:rsid w:val="00F86699"/>
    <w:rsid w:val="00F874CE"/>
    <w:rsid w:val="00F87ABC"/>
    <w:rsid w:val="00F87F88"/>
    <w:rsid w:val="00F90A9F"/>
    <w:rsid w:val="00F91DF6"/>
    <w:rsid w:val="00F94745"/>
    <w:rsid w:val="00F962E3"/>
    <w:rsid w:val="00FA3F66"/>
    <w:rsid w:val="00FB2706"/>
    <w:rsid w:val="00FB3170"/>
    <w:rsid w:val="00FB3374"/>
    <w:rsid w:val="00FB67DE"/>
    <w:rsid w:val="00FC4722"/>
    <w:rsid w:val="00FD1E84"/>
    <w:rsid w:val="00FD23CD"/>
    <w:rsid w:val="00FD23EE"/>
    <w:rsid w:val="00FD659C"/>
    <w:rsid w:val="00FD68B9"/>
    <w:rsid w:val="00FD6CB9"/>
    <w:rsid w:val="00FE3081"/>
    <w:rsid w:val="00FE3E3B"/>
    <w:rsid w:val="00FE591C"/>
    <w:rsid w:val="00FE689C"/>
    <w:rsid w:val="00FE7D87"/>
    <w:rsid w:val="00FF7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8810654"/>
  <w15:chartTrackingRefBased/>
  <w15:docId w15:val="{1426DA7F-1AF9-498A-B857-DDCC75BE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footer" w:uiPriority="99"/>
    <w:lsdException w:name="caption" w:semiHidden="1" w:unhideWhenUsed="1" w:qFormat="1"/>
    <w:lsdException w:name="footnote reference" w:qFormat="1"/>
    <w:lsdException w:name="annotation reference" w:uiPriority="99"/>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20D9"/>
    <w:pPr>
      <w:spacing w:before="120" w:after="120"/>
    </w:pPr>
    <w:rPr>
      <w:rFonts w:ascii="Arial" w:hAnsi="Arial"/>
      <w:snapToGrid w:val="0"/>
      <w:lang w:eastAsia="en-US"/>
    </w:rPr>
  </w:style>
  <w:style w:type="paragraph" w:styleId="Heading1">
    <w:name w:val="heading 1"/>
    <w:basedOn w:val="Normal"/>
    <w:next w:val="Normal"/>
    <w:link w:val="Heading1Char1"/>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2"/>
      </w:numPr>
      <w:spacing w:before="240" w:after="60"/>
      <w:outlineLvl w:val="3"/>
    </w:pPr>
    <w:rPr>
      <w:b/>
      <w:sz w:val="24"/>
      <w:lang w:val="sv-SE"/>
    </w:rPr>
  </w:style>
  <w:style w:type="paragraph" w:styleId="Heading5">
    <w:name w:val="heading 5"/>
    <w:basedOn w:val="Normal"/>
    <w:next w:val="Normal"/>
    <w:link w:val="Heading5Char"/>
    <w:qFormat/>
    <w:pPr>
      <w:numPr>
        <w:ilvl w:val="4"/>
        <w:numId w:val="2"/>
      </w:numPr>
      <w:spacing w:before="240" w:after="60"/>
      <w:outlineLvl w:val="4"/>
    </w:pPr>
    <w:rPr>
      <w:sz w:val="22"/>
      <w:lang w:val="sv-SE"/>
    </w:rPr>
  </w:style>
  <w:style w:type="paragraph" w:styleId="Heading6">
    <w:name w:val="heading 6"/>
    <w:basedOn w:val="Normal"/>
    <w:next w:val="Normal"/>
    <w:link w:val="Heading6Char"/>
    <w:qFormat/>
    <w:pPr>
      <w:numPr>
        <w:ilvl w:val="5"/>
        <w:numId w:val="2"/>
      </w:numPr>
      <w:tabs>
        <w:tab w:val="clear" w:pos="360"/>
        <w:tab w:val="num" w:pos="1152"/>
      </w:tabs>
      <w:spacing w:before="240" w:after="60"/>
      <w:ind w:left="1152" w:hanging="1152"/>
      <w:outlineLvl w:val="5"/>
    </w:pPr>
    <w:rPr>
      <w:i/>
      <w:sz w:val="22"/>
      <w:lang w:val="sv-SE"/>
    </w:rPr>
  </w:style>
  <w:style w:type="paragraph" w:styleId="Heading7">
    <w:name w:val="heading 7"/>
    <w:basedOn w:val="Normal"/>
    <w:next w:val="Normal"/>
    <w:link w:val="Heading7Char"/>
    <w:qFormat/>
    <w:pPr>
      <w:numPr>
        <w:ilvl w:val="6"/>
        <w:numId w:val="2"/>
      </w:numPr>
      <w:spacing w:before="240" w:after="60"/>
      <w:outlineLvl w:val="6"/>
    </w:pPr>
    <w:rPr>
      <w:lang w:val="sv-SE"/>
    </w:rPr>
  </w:style>
  <w:style w:type="paragraph" w:styleId="Heading8">
    <w:name w:val="heading 8"/>
    <w:basedOn w:val="Normal"/>
    <w:next w:val="Normal"/>
    <w:link w:val="Heading8Char"/>
    <w:qFormat/>
    <w:pPr>
      <w:numPr>
        <w:ilvl w:val="7"/>
        <w:numId w:val="2"/>
      </w:numPr>
      <w:spacing w:before="240" w:after="60"/>
      <w:outlineLvl w:val="7"/>
    </w:pPr>
    <w:rPr>
      <w:i/>
      <w:lang w:val="sv-SE"/>
    </w:rPr>
  </w:style>
  <w:style w:type="paragraph" w:styleId="Heading9">
    <w:name w:val="heading 9"/>
    <w:basedOn w:val="Normal"/>
    <w:next w:val="Normal"/>
    <w:link w:val="Heading9Char"/>
    <w:qFormat/>
    <w:pPr>
      <w:numPr>
        <w:ilvl w:val="8"/>
        <w:numId w:val="2"/>
      </w:numPr>
      <w:spacing w:before="240" w:after="60"/>
      <w:outlineLvl w:val="8"/>
    </w:pPr>
    <w:rPr>
      <w:b/>
      <w:i/>
      <w:sz w:val="18"/>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before="0" w:after="0"/>
      <w:jc w:val="both"/>
    </w:pPr>
    <w:rPr>
      <w:rFonts w:ascii="Times New Roman" w:hAnsi="Times New Roman"/>
      <w:sz w:val="24"/>
      <w:lang w:val="sv-SE"/>
    </w:rPr>
  </w:style>
  <w:style w:type="paragraph" w:styleId="BodyText">
    <w:name w:val="Body Text"/>
    <w:basedOn w:val="Normal"/>
    <w:link w:val="BodyTextChar"/>
    <w:rPr>
      <w:lang w:val="sv-SE"/>
    </w:rP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lang w:val="sv-SE"/>
    </w:rPr>
  </w:style>
  <w:style w:type="paragraph" w:styleId="BodyTextIndent3">
    <w:name w:val="Body Text Indent 3"/>
    <w:basedOn w:val="Normal"/>
    <w:link w:val="BodyTextIndent3Char"/>
    <w:pPr>
      <w:tabs>
        <w:tab w:val="left" w:pos="1276"/>
      </w:tabs>
      <w:ind w:left="1276" w:hanging="425"/>
      <w:jc w:val="both"/>
    </w:pPr>
    <w:rPr>
      <w:sz w:val="24"/>
      <w:lang w:val="sv-SE"/>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rPr>
      <w:lang w:val="sv-SE"/>
    </w:rPr>
  </w:style>
  <w:style w:type="paragraph" w:styleId="Footer">
    <w:name w:val="footer"/>
    <w:basedOn w:val="Normal"/>
    <w:link w:val="FooterChar"/>
    <w:uiPriority w:val="99"/>
    <w:pPr>
      <w:tabs>
        <w:tab w:val="center" w:pos="4320"/>
        <w:tab w:val="right" w:pos="8640"/>
      </w:tabs>
    </w:pPr>
    <w:rPr>
      <w:lang w:val="sv-SE"/>
    </w:r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Pr>
      <w:color w:val="0000FF"/>
      <w:u w:val="single"/>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autoRedefine/>
    <w:qFormat/>
    <w:rsid w:val="001020D9"/>
    <w:pPr>
      <w:spacing w:before="0"/>
    </w:pPr>
    <w:rPr>
      <w:rFonts w:ascii="Times New Roman" w:hAnsi="Times New Roman"/>
      <w:lang w:val="fr-FR"/>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E7D13"/>
    <w:pPr>
      <w:tabs>
        <w:tab w:val="num" w:pos="567"/>
      </w:tabs>
      <w:spacing w:before="0" w:after="0"/>
      <w:jc w:val="both"/>
    </w:pPr>
    <w:rPr>
      <w:rFonts w:ascii="Times New Roman" w:hAnsi="Times New Roman"/>
      <w:snapToGrid/>
      <w:sz w:val="24"/>
      <w:lang w:val="sv-SE"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47783A"/>
    <w:pPr>
      <w:numPr>
        <w:numId w:val="1"/>
      </w:numPr>
      <w:tabs>
        <w:tab w:val="right" w:pos="567"/>
      </w:tabs>
    </w:pPr>
    <w:rPr>
      <w:rFonts w:ascii="Times New Roman" w:hAnsi="Times New Roman"/>
      <w:bCs/>
      <w:iCs/>
      <w:sz w:val="24"/>
      <w:szCs w:val="24"/>
    </w:rPr>
  </w:style>
  <w:style w:type="character" w:customStyle="1" w:styleId="Heading2Char">
    <w:name w:val="Heading 2 Char"/>
    <w:link w:val="Heading2"/>
    <w:semiHidden/>
    <w:locked/>
    <w:rsid w:val="0047783A"/>
    <w:rPr>
      <w:rFonts w:ascii="Arial" w:hAnsi="Arial"/>
      <w:snapToGrid w:val="0"/>
      <w:lang w:val="fr-BE" w:eastAsia="en-US" w:bidi="ar-SA"/>
    </w:rPr>
  </w:style>
  <w:style w:type="character" w:customStyle="1" w:styleId="Heading1Char1">
    <w:name w:val="Heading 1 Char1"/>
    <w:link w:val="Heading1"/>
    <w:rsid w:val="0047783A"/>
    <w:rPr>
      <w:rFonts w:ascii="Arial" w:hAnsi="Arial"/>
      <w:b/>
      <w:snapToGrid w:val="0"/>
      <w:lang w:val="fr-BE" w:eastAsia="en-US" w:bidi="ar-SA"/>
    </w:rPr>
  </w:style>
  <w:style w:type="character" w:customStyle="1" w:styleId="Heading1Char">
    <w:name w:val="Heading 1 Char"/>
    <w:locked/>
    <w:rsid w:val="0047783A"/>
    <w:rPr>
      <w:b/>
      <w:sz w:val="24"/>
      <w:szCs w:val="24"/>
      <w:lang w:val="en-GB" w:eastAsia="en-US" w:bidi="ar-SA"/>
    </w:rPr>
  </w:style>
  <w:style w:type="character" w:customStyle="1" w:styleId="Heading3Char">
    <w:name w:val="Heading 3 Char"/>
    <w:link w:val="Heading3"/>
    <w:semiHidden/>
    <w:locked/>
    <w:rsid w:val="0047783A"/>
    <w:rPr>
      <w:rFonts w:ascii="Arial" w:hAnsi="Arial"/>
      <w:snapToGrid w:val="0"/>
      <w:lang w:val="en-GB" w:eastAsia="en-US" w:bidi="ar-SA"/>
    </w:rPr>
  </w:style>
  <w:style w:type="character" w:customStyle="1" w:styleId="Heading4Char">
    <w:name w:val="Heading 4 Char"/>
    <w:link w:val="Heading4"/>
    <w:semiHidden/>
    <w:locked/>
    <w:rsid w:val="0047783A"/>
    <w:rPr>
      <w:rFonts w:ascii="Arial" w:hAnsi="Arial"/>
      <w:b/>
      <w:snapToGrid w:val="0"/>
      <w:sz w:val="24"/>
      <w:lang w:val="sv-SE" w:eastAsia="en-US" w:bidi="ar-SA"/>
    </w:rPr>
  </w:style>
  <w:style w:type="character" w:customStyle="1" w:styleId="Heading5Char">
    <w:name w:val="Heading 5 Char"/>
    <w:link w:val="Heading5"/>
    <w:semiHidden/>
    <w:locked/>
    <w:rsid w:val="0047783A"/>
    <w:rPr>
      <w:rFonts w:ascii="Arial" w:hAnsi="Arial"/>
      <w:snapToGrid w:val="0"/>
      <w:sz w:val="22"/>
      <w:lang w:val="sv-SE" w:eastAsia="en-US" w:bidi="ar-SA"/>
    </w:rPr>
  </w:style>
  <w:style w:type="character" w:customStyle="1" w:styleId="Heading6Char">
    <w:name w:val="Heading 6 Char"/>
    <w:link w:val="Heading6"/>
    <w:semiHidden/>
    <w:locked/>
    <w:rsid w:val="0047783A"/>
    <w:rPr>
      <w:rFonts w:ascii="Arial" w:hAnsi="Arial"/>
      <w:i/>
      <w:snapToGrid w:val="0"/>
      <w:sz w:val="22"/>
      <w:lang w:val="sv-SE" w:eastAsia="en-US" w:bidi="ar-SA"/>
    </w:rPr>
  </w:style>
  <w:style w:type="character" w:customStyle="1" w:styleId="Heading7Char">
    <w:name w:val="Heading 7 Char"/>
    <w:link w:val="Heading7"/>
    <w:semiHidden/>
    <w:locked/>
    <w:rsid w:val="0047783A"/>
    <w:rPr>
      <w:rFonts w:ascii="Arial" w:hAnsi="Arial"/>
      <w:snapToGrid w:val="0"/>
      <w:lang w:val="sv-SE" w:eastAsia="en-US" w:bidi="ar-SA"/>
    </w:rPr>
  </w:style>
  <w:style w:type="character" w:customStyle="1" w:styleId="Heading8Char">
    <w:name w:val="Heading 8 Char"/>
    <w:link w:val="Heading8"/>
    <w:semiHidden/>
    <w:locked/>
    <w:rsid w:val="0047783A"/>
    <w:rPr>
      <w:rFonts w:ascii="Arial" w:hAnsi="Arial"/>
      <w:i/>
      <w:snapToGrid w:val="0"/>
      <w:lang w:val="sv-SE" w:eastAsia="en-US" w:bidi="ar-SA"/>
    </w:rPr>
  </w:style>
  <w:style w:type="character" w:customStyle="1" w:styleId="Heading9Char">
    <w:name w:val="Heading 9 Char"/>
    <w:link w:val="Heading9"/>
    <w:semiHidden/>
    <w:locked/>
    <w:rsid w:val="0047783A"/>
    <w:rPr>
      <w:rFonts w:ascii="Arial" w:hAnsi="Arial"/>
      <w:b/>
      <w:i/>
      <w:snapToGrid w:val="0"/>
      <w:sz w:val="18"/>
      <w:lang w:val="sv-SE" w:eastAsia="en-US" w:bidi="ar-SA"/>
    </w:rPr>
  </w:style>
  <w:style w:type="character" w:customStyle="1" w:styleId="TitleChar">
    <w:name w:val="Title Char"/>
    <w:link w:val="Title"/>
    <w:locked/>
    <w:rsid w:val="0047783A"/>
    <w:rPr>
      <w:rFonts w:ascii="Arial" w:hAnsi="Arial"/>
      <w:b/>
      <w:snapToGrid w:val="0"/>
      <w:sz w:val="28"/>
      <w:lang w:val="fr-BE" w:eastAsia="en-US" w:bidi="ar-SA"/>
    </w:rPr>
  </w:style>
  <w:style w:type="character" w:customStyle="1" w:styleId="SubtitleChar">
    <w:name w:val="Subtitle Char"/>
    <w:link w:val="Subtitle"/>
    <w:locked/>
    <w:rsid w:val="0047783A"/>
    <w:rPr>
      <w:rFonts w:ascii="Arial" w:hAnsi="Arial"/>
      <w:b/>
      <w:snapToGrid w:val="0"/>
      <w:sz w:val="28"/>
      <w:lang w:val="fr-BE" w:eastAsia="en-US" w:bidi="ar-SA"/>
    </w:rPr>
  </w:style>
  <w:style w:type="character" w:customStyle="1" w:styleId="BodyTextIndentChar">
    <w:name w:val="Body Text Indent Char"/>
    <w:link w:val="BodyTextIndent"/>
    <w:semiHidden/>
    <w:locked/>
    <w:rsid w:val="0047783A"/>
    <w:rPr>
      <w:snapToGrid w:val="0"/>
      <w:sz w:val="24"/>
      <w:lang w:val="sv-SE" w:eastAsia="en-US" w:bidi="ar-SA"/>
    </w:rPr>
  </w:style>
  <w:style w:type="character" w:customStyle="1" w:styleId="BodyTextChar">
    <w:name w:val="Body Text Char"/>
    <w:link w:val="BodyText"/>
    <w:semiHidden/>
    <w:locked/>
    <w:rsid w:val="0047783A"/>
    <w:rPr>
      <w:rFonts w:ascii="Arial" w:hAnsi="Arial"/>
      <w:snapToGrid w:val="0"/>
      <w:lang w:val="sv-SE" w:eastAsia="en-US" w:bidi="ar-SA"/>
    </w:rPr>
  </w:style>
  <w:style w:type="character" w:customStyle="1" w:styleId="BodyTextIndent2Char">
    <w:name w:val="Body Text Indent 2 Char"/>
    <w:link w:val="BodyTextIndent2"/>
    <w:semiHidden/>
    <w:locked/>
    <w:rsid w:val="0047783A"/>
    <w:rPr>
      <w:rFonts w:ascii="Arial" w:hAnsi="Arial"/>
      <w:snapToGrid w:val="0"/>
      <w:sz w:val="24"/>
      <w:u w:val="single"/>
      <w:lang w:val="sv-SE" w:eastAsia="en-US" w:bidi="ar-SA"/>
    </w:rPr>
  </w:style>
  <w:style w:type="character" w:customStyle="1" w:styleId="BodyTextIndent3Char">
    <w:name w:val="Body Text Indent 3 Char"/>
    <w:link w:val="BodyTextIndent3"/>
    <w:semiHidden/>
    <w:locked/>
    <w:rsid w:val="0047783A"/>
    <w:rPr>
      <w:rFonts w:ascii="Arial" w:hAnsi="Arial"/>
      <w:snapToGrid w:val="0"/>
      <w:sz w:val="24"/>
      <w:lang w:val="sv-SE" w:eastAsia="en-US" w:bidi="ar-SA"/>
    </w:rPr>
  </w:style>
  <w:style w:type="character" w:customStyle="1" w:styleId="HeaderChar">
    <w:name w:val="Header Char"/>
    <w:link w:val="Header"/>
    <w:semiHidden/>
    <w:locked/>
    <w:rsid w:val="0047783A"/>
    <w:rPr>
      <w:rFonts w:ascii="Arial" w:hAnsi="Arial"/>
      <w:snapToGrid w:val="0"/>
      <w:lang w:val="sv-SE" w:eastAsia="en-US" w:bidi="ar-SA"/>
    </w:rPr>
  </w:style>
  <w:style w:type="character" w:customStyle="1" w:styleId="FooterChar">
    <w:name w:val="Footer Char"/>
    <w:link w:val="Footer"/>
    <w:uiPriority w:val="99"/>
    <w:locked/>
    <w:rsid w:val="0047783A"/>
    <w:rPr>
      <w:rFonts w:ascii="Arial" w:hAnsi="Arial"/>
      <w:snapToGrid w:val="0"/>
      <w:lang w:val="sv-SE" w:eastAsia="en-US" w:bidi="ar-SA"/>
    </w:rPr>
  </w:style>
  <w:style w:type="character" w:customStyle="1" w:styleId="BodyText3Char">
    <w:name w:val="Body Text 3 Char"/>
    <w:link w:val="BodyText3"/>
    <w:semiHidden/>
    <w:locked/>
    <w:rsid w:val="0047783A"/>
    <w:rPr>
      <w:rFonts w:ascii="Arial" w:hAnsi="Arial"/>
      <w:b/>
      <w:snapToGrid w:val="0"/>
      <w:sz w:val="24"/>
      <w:lang w:val="en-GB" w:eastAsia="en-US" w:bidi="ar-SA"/>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ocked/>
    <w:rsid w:val="0047783A"/>
    <w:rPr>
      <w:rFonts w:ascii="Arial" w:hAnsi="Arial"/>
      <w:snapToGrid w:val="0"/>
      <w:lang w:val="fr-FR" w:eastAsia="en-US" w:bidi="ar-SA"/>
    </w:rPr>
  </w:style>
  <w:style w:type="character" w:customStyle="1" w:styleId="DocumentMapChar">
    <w:name w:val="Document Map Char"/>
    <w:link w:val="DocumentMap"/>
    <w:semiHidden/>
    <w:locked/>
    <w:rsid w:val="0047783A"/>
    <w:rPr>
      <w:rFonts w:ascii="Arial" w:hAnsi="Arial"/>
      <w:snapToGrid w:val="0"/>
      <w:sz w:val="24"/>
      <w:lang w:val="fr-FR" w:eastAsia="en-US" w:bidi="ar-SA"/>
    </w:rPr>
  </w:style>
  <w:style w:type="character" w:customStyle="1" w:styleId="BodyText2Char">
    <w:name w:val="Body Text 2 Char"/>
    <w:link w:val="BodyText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rFonts w:ascii="Times New Roman" w:hAnsi="Times New Roman"/>
      <w:snapToGrid/>
      <w:color w:val="000000"/>
      <w:sz w:val="22"/>
      <w:lang w:eastAsia="en-GB"/>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before="0" w:after="0"/>
      <w:ind w:left="567"/>
      <w:textAlignment w:val="baseline"/>
    </w:pPr>
    <w:rPr>
      <w:rFonts w:ascii="Times New Roman" w:hAnsi="Times New Roman"/>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before="0" w:after="160" w:line="240" w:lineRule="exact"/>
    </w:pPr>
    <w:rPr>
      <w:rFonts w:ascii="Tahoma" w:hAnsi="Tahoma"/>
      <w:snapToGrid/>
      <w:lang w:val="en-US"/>
    </w:rPr>
  </w:style>
  <w:style w:type="character" w:styleId="CommentReference">
    <w:name w:val="annotation reference"/>
    <w:uiPriority w:val="99"/>
    <w:semiHidden/>
    <w:rsid w:val="00EE23B1"/>
    <w:rPr>
      <w:sz w:val="16"/>
      <w:szCs w:val="16"/>
    </w:rPr>
  </w:style>
  <w:style w:type="paragraph" w:styleId="CommentText">
    <w:name w:val="annotation text"/>
    <w:basedOn w:val="Normal"/>
    <w:link w:val="CommentTextChar"/>
    <w:semiHidden/>
    <w:rsid w:val="00EE23B1"/>
  </w:style>
  <w:style w:type="paragraph" w:styleId="CommentSubject">
    <w:name w:val="annotation subject"/>
    <w:basedOn w:val="CommentText"/>
    <w:next w:val="CommentText"/>
    <w:semiHidden/>
    <w:rsid w:val="00EE23B1"/>
    <w:rPr>
      <w:b/>
      <w:bCs/>
    </w:rPr>
  </w:style>
  <w:style w:type="paragraph" w:styleId="ListNumber">
    <w:name w:val="List Number"/>
    <w:basedOn w:val="Normal"/>
    <w:rsid w:val="00EB45CB"/>
    <w:pPr>
      <w:numPr>
        <w:numId w:val="18"/>
      </w:numPr>
      <w:spacing w:before="0" w:after="240"/>
      <w:jc w:val="both"/>
    </w:pPr>
    <w:rPr>
      <w:rFonts w:ascii="Times New Roman" w:hAnsi="Times New Roman"/>
      <w:snapToGrid/>
      <w:sz w:val="24"/>
    </w:rPr>
  </w:style>
  <w:style w:type="paragraph" w:customStyle="1" w:styleId="ListNumberLevel2">
    <w:name w:val="List Number (Level 2)"/>
    <w:basedOn w:val="Normal"/>
    <w:rsid w:val="00EB45CB"/>
    <w:pPr>
      <w:numPr>
        <w:ilvl w:val="1"/>
        <w:numId w:val="18"/>
      </w:numPr>
      <w:spacing w:before="0" w:after="240"/>
      <w:jc w:val="both"/>
    </w:pPr>
    <w:rPr>
      <w:rFonts w:ascii="Times New Roman" w:hAnsi="Times New Roman"/>
      <w:snapToGrid/>
      <w:sz w:val="24"/>
    </w:rPr>
  </w:style>
  <w:style w:type="paragraph" w:customStyle="1" w:styleId="ListNumberLevel3">
    <w:name w:val="List Number (Level 3)"/>
    <w:basedOn w:val="Normal"/>
    <w:rsid w:val="00EB45CB"/>
    <w:pPr>
      <w:numPr>
        <w:ilvl w:val="2"/>
        <w:numId w:val="18"/>
      </w:numPr>
      <w:spacing w:before="0" w:after="240"/>
      <w:jc w:val="both"/>
    </w:pPr>
    <w:rPr>
      <w:rFonts w:ascii="Times New Roman" w:hAnsi="Times New Roman"/>
      <w:snapToGrid/>
      <w:sz w:val="24"/>
    </w:rPr>
  </w:style>
  <w:style w:type="paragraph" w:customStyle="1" w:styleId="ListNumberLevel4">
    <w:name w:val="List Number (Level 4)"/>
    <w:basedOn w:val="Normal"/>
    <w:rsid w:val="00EB45CB"/>
    <w:pPr>
      <w:numPr>
        <w:ilvl w:val="3"/>
        <w:numId w:val="18"/>
      </w:numPr>
      <w:spacing w:before="0" w:after="240"/>
      <w:jc w:val="both"/>
    </w:pPr>
    <w:rPr>
      <w:rFonts w:ascii="Times New Roman" w:hAnsi="Times New Roman"/>
      <w:snapToGrid/>
      <w:sz w:val="24"/>
    </w:rPr>
  </w:style>
  <w:style w:type="character" w:customStyle="1" w:styleId="CommentTextChar">
    <w:name w:val="Comment Text Char"/>
    <w:link w:val="CommentText"/>
    <w:semiHidden/>
    <w:rsid w:val="00240B1F"/>
    <w:rPr>
      <w:rFonts w:ascii="Arial" w:hAnsi="Arial"/>
      <w:snapToGrid w:val="0"/>
      <w:lang w:eastAsia="en-US"/>
    </w:rPr>
  </w:style>
  <w:style w:type="paragraph" w:styleId="Revision">
    <w:name w:val="Revision"/>
    <w:hidden/>
    <w:uiPriority w:val="99"/>
    <w:semiHidden/>
    <w:rsid w:val="00AB3A36"/>
    <w:rPr>
      <w:rFonts w:ascii="Arial" w:hAnsi="Arial"/>
      <w:snapToGrid w:val="0"/>
      <w:lang w:eastAsia="en-US"/>
    </w:rPr>
  </w:style>
  <w:style w:type="paragraph" w:customStyle="1" w:styleId="Default">
    <w:name w:val="Default"/>
    <w:rsid w:val="00E76535"/>
    <w:pPr>
      <w:autoSpaceDE w:val="0"/>
      <w:autoSpaceDN w:val="0"/>
      <w:adjustRightInd w:val="0"/>
    </w:pPr>
    <w:rPr>
      <w:color w:val="000000"/>
      <w:sz w:val="24"/>
      <w:szCs w:val="24"/>
    </w:rPr>
  </w:style>
  <w:style w:type="paragraph" w:styleId="ListParagraph">
    <w:name w:val="List Paragraph"/>
    <w:basedOn w:val="Normal"/>
    <w:uiPriority w:val="34"/>
    <w:qFormat/>
    <w:rsid w:val="00583FF3"/>
    <w:pPr>
      <w:spacing w:before="0" w:after="0"/>
      <w:ind w:left="720"/>
    </w:pPr>
    <w:rPr>
      <w:rFonts w:ascii="Calibri" w:eastAsia="Calibri" w:hAnsi="Calibri"/>
      <w:snapToGrid/>
      <w:sz w:val="22"/>
      <w:szCs w:val="22"/>
    </w:rPr>
  </w:style>
  <w:style w:type="paragraph" w:customStyle="1" w:styleId="Text1">
    <w:name w:val="Text 1"/>
    <w:basedOn w:val="Normal"/>
    <w:rsid w:val="00F0405C"/>
    <w:pPr>
      <w:spacing w:before="0" w:after="240"/>
      <w:ind w:left="482"/>
      <w:jc w:val="both"/>
    </w:pPr>
    <w:rPr>
      <w:rFonts w:ascii="Times New Roman" w:eastAsia="Calibri" w:hAnsi="Times New Roman"/>
      <w:snapToGrid/>
      <w:sz w:val="24"/>
      <w:szCs w:val="24"/>
    </w:rPr>
  </w:style>
  <w:style w:type="paragraph" w:styleId="NormalWeb">
    <w:name w:val="Normal (Web)"/>
    <w:basedOn w:val="Normal"/>
    <w:unhideWhenUsed/>
    <w:rsid w:val="00532398"/>
    <w:pPr>
      <w:spacing w:before="100" w:beforeAutospacing="1" w:after="100" w:afterAutospacing="1"/>
    </w:pPr>
    <w:rPr>
      <w:rFonts w:ascii="Times New Roman" w:eastAsia="Calibri" w:hAnsi="Times New Roman"/>
      <w:snapToGrid/>
      <w:sz w:val="24"/>
      <w:szCs w:val="24"/>
      <w:lang w:val="en-US"/>
    </w:rPr>
  </w:style>
  <w:style w:type="paragraph" w:styleId="Index1">
    <w:name w:val="index 1"/>
    <w:basedOn w:val="Normal"/>
    <w:next w:val="Normal"/>
    <w:autoRedefine/>
    <w:rsid w:val="004E0052"/>
    <w:pPr>
      <w:spacing w:before="0" w:after="0"/>
      <w:ind w:left="200" w:hanging="200"/>
    </w:pPr>
  </w:style>
  <w:style w:type="paragraph" w:styleId="IndexHeading">
    <w:name w:val="index heading"/>
    <w:basedOn w:val="Normal"/>
    <w:next w:val="Index1"/>
    <w:rsid w:val="004E0052"/>
    <w:pPr>
      <w:spacing w:before="0" w:after="240"/>
      <w:jc w:val="both"/>
    </w:pPr>
    <w:rPr>
      <w:b/>
      <w:snapToGrid/>
      <w:sz w:val="24"/>
    </w:rPr>
  </w:style>
  <w:style w:type="character" w:styleId="UnresolvedMention">
    <w:name w:val="Unresolved Mention"/>
    <w:basedOn w:val="DefaultParagraphFont"/>
    <w:uiPriority w:val="99"/>
    <w:semiHidden/>
    <w:unhideWhenUsed/>
    <w:rsid w:val="00FD23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73758">
      <w:bodyDiv w:val="1"/>
      <w:marLeft w:val="0"/>
      <w:marRight w:val="0"/>
      <w:marTop w:val="0"/>
      <w:marBottom w:val="0"/>
      <w:divBdr>
        <w:top w:val="none" w:sz="0" w:space="0" w:color="auto"/>
        <w:left w:val="none" w:sz="0" w:space="0" w:color="auto"/>
        <w:bottom w:val="none" w:sz="0" w:space="0" w:color="auto"/>
        <w:right w:val="none" w:sz="0" w:space="0" w:color="auto"/>
      </w:divBdr>
    </w:div>
    <w:div w:id="151799194">
      <w:bodyDiv w:val="1"/>
      <w:marLeft w:val="0"/>
      <w:marRight w:val="0"/>
      <w:marTop w:val="0"/>
      <w:marBottom w:val="0"/>
      <w:divBdr>
        <w:top w:val="none" w:sz="0" w:space="0" w:color="auto"/>
        <w:left w:val="none" w:sz="0" w:space="0" w:color="auto"/>
        <w:bottom w:val="none" w:sz="0" w:space="0" w:color="auto"/>
        <w:right w:val="none" w:sz="0" w:space="0" w:color="auto"/>
      </w:divBdr>
    </w:div>
    <w:div w:id="168906179">
      <w:bodyDiv w:val="1"/>
      <w:marLeft w:val="0"/>
      <w:marRight w:val="0"/>
      <w:marTop w:val="0"/>
      <w:marBottom w:val="0"/>
      <w:divBdr>
        <w:top w:val="none" w:sz="0" w:space="0" w:color="auto"/>
        <w:left w:val="none" w:sz="0" w:space="0" w:color="auto"/>
        <w:bottom w:val="none" w:sz="0" w:space="0" w:color="auto"/>
        <w:right w:val="none" w:sz="0" w:space="0" w:color="auto"/>
      </w:divBdr>
    </w:div>
    <w:div w:id="421151054">
      <w:bodyDiv w:val="1"/>
      <w:marLeft w:val="0"/>
      <w:marRight w:val="0"/>
      <w:marTop w:val="0"/>
      <w:marBottom w:val="0"/>
      <w:divBdr>
        <w:top w:val="none" w:sz="0" w:space="0" w:color="auto"/>
        <w:left w:val="none" w:sz="0" w:space="0" w:color="auto"/>
        <w:bottom w:val="none" w:sz="0" w:space="0" w:color="auto"/>
        <w:right w:val="none" w:sz="0" w:space="0" w:color="auto"/>
      </w:divBdr>
    </w:div>
    <w:div w:id="70865179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europa.eu/europeaid/funding/communication-and-visibility-manual-eu-external-actions_en"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pa-cbc-programme.eu/gallery/Files/Library/Information--Publicity-Guide_Name-change_November-2019.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25D9E-FA0A-474F-84EE-CF08B2FB7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6</Pages>
  <Words>2262</Words>
  <Characters>12994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15226</CharactersWithSpaces>
  <SharedDoc>false</SharedDoc>
  <HLinks>
    <vt:vector size="12" baseType="variant">
      <vt:variant>
        <vt:i4>4849790</vt:i4>
      </vt:variant>
      <vt:variant>
        <vt:i4>0</vt:i4>
      </vt:variant>
      <vt:variant>
        <vt:i4>0</vt:i4>
      </vt:variant>
      <vt:variant>
        <vt:i4>5</vt:i4>
      </vt:variant>
      <vt:variant>
        <vt:lpwstr>https://ec.europa.eu/europeaid/funding/communication-and-visibility-manual-eu-external-actions_en</vt:lpwstr>
      </vt:variant>
      <vt:variant>
        <vt:lpwstr/>
      </vt:variant>
      <vt:variant>
        <vt:i4>2097198</vt:i4>
      </vt:variant>
      <vt:variant>
        <vt:i4>0</vt:i4>
      </vt:variant>
      <vt:variant>
        <vt:i4>0</vt:i4>
      </vt:variant>
      <vt:variant>
        <vt:i4>5</vt:i4>
      </vt:variant>
      <vt:variant>
        <vt:lpwstr>http://www.iccwbo.org/products-and-services/trade-facilitation/incoterms-2010/the-incoterms-rules/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Igor Atanasov</cp:lastModifiedBy>
  <cp:revision>20</cp:revision>
  <cp:lastPrinted>2014-02-11T14:32:00Z</cp:lastPrinted>
  <dcterms:created xsi:type="dcterms:W3CDTF">2019-10-04T11:52:00Z</dcterms:created>
  <dcterms:modified xsi:type="dcterms:W3CDTF">2020-01-30T11:56:00Z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duboile</vt:lpwstr>
  </property>
</Properties>
</file>