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A0229" w14:textId="77777777" w:rsidR="00E23824" w:rsidRPr="003F1149" w:rsidRDefault="00E23824">
      <w:pPr>
        <w:jc w:val="center"/>
        <w:rPr>
          <w:sz w:val="20"/>
          <w:lang w:val="en-GB"/>
        </w:rPr>
      </w:pPr>
      <w:r w:rsidRPr="003F1149">
        <w:rPr>
          <w:sz w:val="20"/>
          <w:lang w:val="en-GB"/>
        </w:rPr>
        <w:t>Public</w:t>
      </w:r>
      <w:r w:rsidR="00F274BD">
        <w:rPr>
          <w:sz w:val="20"/>
          <w:lang w:val="en-GB"/>
        </w:rPr>
        <w:t xml:space="preserve"> </w:t>
      </w:r>
      <w:r w:rsidRPr="003F1149">
        <w:rPr>
          <w:sz w:val="20"/>
          <w:lang w:val="en-GB"/>
        </w:rPr>
        <w:t>document</w:t>
      </w:r>
      <w:r w:rsidR="00F274BD">
        <w:rPr>
          <w:sz w:val="20"/>
          <w:lang w:val="en-GB"/>
        </w:rPr>
        <w:t xml:space="preserve"> </w:t>
      </w:r>
      <w:r w:rsidRPr="003F1149">
        <w:rPr>
          <w:sz w:val="20"/>
          <w:lang w:val="en-GB"/>
        </w:rPr>
        <w:t xml:space="preserve">to be completed by the </w:t>
      </w:r>
      <w:r w:rsidR="00216908">
        <w:rPr>
          <w:sz w:val="20"/>
          <w:lang w:val="en-GB"/>
        </w:rPr>
        <w:t>c</w:t>
      </w:r>
      <w:r w:rsidRPr="003F1149">
        <w:rPr>
          <w:sz w:val="20"/>
          <w:lang w:val="en-GB"/>
        </w:rPr>
        <w:t xml:space="preserve">ontracting </w:t>
      </w:r>
      <w:r w:rsidR="00216908">
        <w:rPr>
          <w:sz w:val="20"/>
          <w:lang w:val="en-GB"/>
        </w:rPr>
        <w:t>a</w:t>
      </w:r>
      <w:r w:rsidRPr="003F1149">
        <w:rPr>
          <w:sz w:val="20"/>
          <w:lang w:val="en-GB"/>
        </w:rPr>
        <w:t>uthority</w:t>
      </w:r>
      <w:r w:rsidR="0088725C">
        <w:rPr>
          <w:sz w:val="20"/>
          <w:lang w:val="en-GB"/>
        </w:rPr>
        <w:t xml:space="preserve"> </w:t>
      </w:r>
    </w:p>
    <w:p w14:paraId="7BC1B2E3" w14:textId="77777777" w:rsidR="00E23824" w:rsidRPr="003F1149" w:rsidRDefault="00C81650" w:rsidP="0088725C">
      <w:pPr>
        <w:jc w:val="center"/>
        <w:rPr>
          <w:b/>
          <w:sz w:val="28"/>
          <w:lang w:val="en-GB"/>
        </w:rPr>
      </w:pPr>
      <w:r>
        <w:rPr>
          <w:noProof/>
          <w:snapToGrid/>
          <w:lang w:val="mk-MK" w:eastAsia="mk-MK"/>
        </w:rPr>
        <mc:AlternateContent>
          <mc:Choice Requires="wps">
            <w:drawing>
              <wp:anchor distT="0" distB="0" distL="114300" distR="114300" simplePos="0" relativeHeight="251657728" behindDoc="0" locked="0" layoutInCell="0" allowOverlap="1" wp14:anchorId="1D4EDE8E" wp14:editId="66B9D755">
                <wp:simplePos x="0" y="0"/>
                <wp:positionH relativeFrom="column">
                  <wp:posOffset>-19685</wp:posOffset>
                </wp:positionH>
                <wp:positionV relativeFrom="paragraph">
                  <wp:posOffset>52070</wp:posOffset>
                </wp:positionV>
                <wp:extent cx="5943600" cy="635"/>
                <wp:effectExtent l="0" t="19050" r="19050" b="3746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9E50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1pt" to="46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" o:allowincell="f" strokecolor="#d4d4d4" strokeweight="1.75pt">
                <v:shadow on="t" offset="0,-1pt"/>
                <w10:wrap type="topAndBottom"/>
              </v:line>
            </w:pict>
          </mc:Fallback>
        </mc:AlternateContent>
      </w:r>
      <w:r w:rsidR="00E23824" w:rsidRPr="003F1149">
        <w:rPr>
          <w:b/>
          <w:sz w:val="28"/>
          <w:lang w:val="en-GB"/>
        </w:rPr>
        <w:t xml:space="preserve">SUPPLY </w:t>
      </w:r>
      <w:r w:rsidR="008A6648">
        <w:rPr>
          <w:b/>
          <w:sz w:val="28"/>
          <w:lang w:val="en-GB"/>
        </w:rPr>
        <w:t>CONTRACT NOTICE</w:t>
      </w:r>
    </w:p>
    <w:p w14:paraId="50F8A00E" w14:textId="7D0F6FE7" w:rsidR="0088725C" w:rsidRPr="00051E48" w:rsidRDefault="00051E48" w:rsidP="0088725C">
      <w:pPr>
        <w:spacing w:after="240"/>
        <w:jc w:val="center"/>
        <w:rPr>
          <w:rStyle w:val="Strong"/>
          <w:szCs w:val="24"/>
          <w:lang w:val="en-GB"/>
        </w:rPr>
      </w:pPr>
      <w:r w:rsidRPr="00051E48">
        <w:rPr>
          <w:rStyle w:val="Strong"/>
          <w:szCs w:val="24"/>
          <w:lang w:val="en-GB"/>
        </w:rPr>
        <w:t xml:space="preserve">Contract title: </w:t>
      </w:r>
      <w:r w:rsidR="0047229D" w:rsidRPr="00051E48">
        <w:rPr>
          <w:rStyle w:val="Strong"/>
          <w:szCs w:val="24"/>
          <w:lang w:val="en-GB"/>
        </w:rPr>
        <w:t xml:space="preserve">Supply of Air Quality </w:t>
      </w:r>
      <w:r w:rsidR="00E078B6">
        <w:rPr>
          <w:rStyle w:val="Strong"/>
          <w:szCs w:val="24"/>
          <w:lang w:val="en-GB"/>
        </w:rPr>
        <w:t xml:space="preserve">Monitoring </w:t>
      </w:r>
      <w:r w:rsidR="0047229D" w:rsidRPr="00051E48">
        <w:rPr>
          <w:rStyle w:val="Strong"/>
          <w:szCs w:val="24"/>
          <w:lang w:val="en-GB"/>
        </w:rPr>
        <w:t>Equipment</w:t>
      </w:r>
    </w:p>
    <w:p w14:paraId="6D212102" w14:textId="50F1E9FC" w:rsidR="00E23824" w:rsidRDefault="00051E48" w:rsidP="0088725C">
      <w:pPr>
        <w:spacing w:after="600"/>
        <w:jc w:val="center"/>
        <w:rPr>
          <w:rStyle w:val="Strong"/>
          <w:szCs w:val="24"/>
          <w:lang w:val="en-GB"/>
        </w:rPr>
      </w:pPr>
      <w:r>
        <w:rPr>
          <w:rStyle w:val="Strong"/>
          <w:szCs w:val="24"/>
          <w:lang w:val="en-GB"/>
        </w:rPr>
        <w:t xml:space="preserve">Location: </w:t>
      </w:r>
      <w:r w:rsidR="0047229D">
        <w:rPr>
          <w:rStyle w:val="Strong"/>
          <w:szCs w:val="24"/>
          <w:lang w:val="en-GB"/>
        </w:rPr>
        <w:t>Republic of North Macedonia</w:t>
      </w:r>
    </w:p>
    <w:p w14:paraId="0C93CB19"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Publication reference</w:t>
      </w:r>
    </w:p>
    <w:p w14:paraId="1CE335FB" w14:textId="7E8238F8" w:rsidR="00EA36E6" w:rsidRDefault="0047229D" w:rsidP="00AF3DC9">
      <w:pPr>
        <w:pStyle w:val="Blockquote"/>
        <w:tabs>
          <w:tab w:val="left" w:pos="709"/>
        </w:tabs>
        <w:ind w:left="709"/>
        <w:rPr>
          <w:sz w:val="22"/>
          <w:szCs w:val="22"/>
          <w:lang w:val="en-GB"/>
        </w:rPr>
      </w:pPr>
      <w:r w:rsidRPr="00051E48">
        <w:rPr>
          <w:sz w:val="22"/>
          <w:szCs w:val="22"/>
          <w:lang w:val="en-GB"/>
        </w:rPr>
        <w:t>TRAP/</w:t>
      </w:r>
      <w:proofErr w:type="spellStart"/>
      <w:r w:rsidRPr="00051E48">
        <w:rPr>
          <w:sz w:val="22"/>
          <w:szCs w:val="22"/>
          <w:lang w:val="en-GB"/>
        </w:rPr>
        <w:t>MoEPP</w:t>
      </w:r>
      <w:proofErr w:type="spellEnd"/>
      <w:r w:rsidRPr="00051E48">
        <w:rPr>
          <w:sz w:val="22"/>
          <w:szCs w:val="22"/>
          <w:lang w:val="en-GB"/>
        </w:rPr>
        <w:t>/MK/2018/TD0</w:t>
      </w:r>
      <w:r w:rsidR="00051E48" w:rsidRPr="00051E48">
        <w:rPr>
          <w:sz w:val="22"/>
          <w:szCs w:val="22"/>
          <w:lang w:val="en-GB"/>
        </w:rPr>
        <w:t>3</w:t>
      </w:r>
    </w:p>
    <w:p w14:paraId="539AA4FD"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Procedure</w:t>
      </w:r>
    </w:p>
    <w:p w14:paraId="6EB870B3" w14:textId="77777777" w:rsidR="00E23824" w:rsidRPr="003F1149" w:rsidRDefault="00E23824" w:rsidP="00AF3DC9">
      <w:pPr>
        <w:pStyle w:val="Blockquote"/>
        <w:tabs>
          <w:tab w:val="left" w:pos="709"/>
        </w:tabs>
        <w:ind w:left="709"/>
        <w:rPr>
          <w:sz w:val="22"/>
          <w:szCs w:val="22"/>
          <w:lang w:val="en-GB"/>
        </w:rPr>
      </w:pPr>
      <w:r w:rsidRPr="003F1149">
        <w:rPr>
          <w:sz w:val="22"/>
          <w:szCs w:val="22"/>
          <w:lang w:val="en-GB"/>
        </w:rPr>
        <w:t>Open</w:t>
      </w:r>
    </w:p>
    <w:p w14:paraId="34C8675B"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Programme</w:t>
      </w:r>
      <w:r w:rsidR="000E3C60">
        <w:rPr>
          <w:rStyle w:val="Strong"/>
          <w:szCs w:val="24"/>
          <w:lang w:val="en-GB"/>
        </w:rPr>
        <w:t xml:space="preserve"> title</w:t>
      </w:r>
    </w:p>
    <w:p w14:paraId="0731F04B" w14:textId="637BDAEC" w:rsidR="000E3C60" w:rsidRDefault="0047229D" w:rsidP="000F28BC">
      <w:pPr>
        <w:pStyle w:val="PRAGHeading2"/>
        <w:numPr>
          <w:ilvl w:val="0"/>
          <w:numId w:val="0"/>
        </w:numPr>
        <w:ind w:left="644"/>
      </w:pPr>
      <w:r w:rsidRPr="00C70B39">
        <w:rPr>
          <w:sz w:val="22"/>
          <w:szCs w:val="22"/>
          <w:lang w:val="en-GB"/>
        </w:rPr>
        <w:t xml:space="preserve">Interreg IPA CBC “Greece –Republic of North Macedonia 2014 – 2020” </w:t>
      </w:r>
      <w:r w:rsidR="009770E9" w:rsidRPr="00C70B39">
        <w:rPr>
          <w:sz w:val="22"/>
          <w:szCs w:val="22"/>
          <w:lang w:val="en-GB"/>
        </w:rPr>
        <w:t xml:space="preserve">Programme </w:t>
      </w:r>
      <w:r w:rsidRPr="00C70B39">
        <w:rPr>
          <w:sz w:val="22"/>
          <w:szCs w:val="22"/>
          <w:lang w:val="en-GB"/>
        </w:rPr>
        <w:t>Reference: CCI: 2014TC16I5CB009</w:t>
      </w:r>
    </w:p>
    <w:p w14:paraId="21DC25BF"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Financing</w:t>
      </w:r>
    </w:p>
    <w:p w14:paraId="15A0C238" w14:textId="75DA9396" w:rsidR="00E23824" w:rsidRPr="003F1149" w:rsidRDefault="0047229D" w:rsidP="00AF3DC9">
      <w:pPr>
        <w:pStyle w:val="Blockquote"/>
        <w:tabs>
          <w:tab w:val="left" w:pos="709"/>
        </w:tabs>
        <w:ind w:left="709"/>
        <w:rPr>
          <w:sz w:val="22"/>
          <w:szCs w:val="22"/>
          <w:lang w:val="en-GB"/>
        </w:rPr>
      </w:pPr>
      <w:r w:rsidRPr="00451C3B">
        <w:rPr>
          <w:sz w:val="22"/>
          <w:szCs w:val="22"/>
          <w:lang w:val="en-GB"/>
        </w:rPr>
        <w:t>Budget line</w:t>
      </w:r>
      <w:r>
        <w:rPr>
          <w:sz w:val="22"/>
          <w:szCs w:val="22"/>
          <w:lang w:val="en-GB"/>
        </w:rPr>
        <w:t xml:space="preserve"> </w:t>
      </w:r>
      <w:r w:rsidR="00DC659F">
        <w:rPr>
          <w:sz w:val="22"/>
          <w:szCs w:val="22"/>
          <w:lang w:val="en-GB"/>
        </w:rPr>
        <w:t>4</w:t>
      </w:r>
      <w:r>
        <w:rPr>
          <w:sz w:val="22"/>
          <w:szCs w:val="22"/>
          <w:lang w:val="en-GB"/>
        </w:rPr>
        <w:t>.5.</w:t>
      </w:r>
      <w:r w:rsidR="00DC659F">
        <w:rPr>
          <w:sz w:val="22"/>
          <w:szCs w:val="22"/>
          <w:lang w:val="en-GB"/>
        </w:rPr>
        <w:t xml:space="preserve">3 </w:t>
      </w:r>
      <w:r w:rsidRPr="00451C3B">
        <w:rPr>
          <w:sz w:val="22"/>
          <w:szCs w:val="22"/>
          <w:lang w:val="en-GB"/>
        </w:rPr>
        <w:t>as per Application form and Budget given</w:t>
      </w:r>
    </w:p>
    <w:p w14:paraId="534789CD"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Contracting authority</w:t>
      </w:r>
    </w:p>
    <w:p w14:paraId="5DEDD274" w14:textId="3B041F44" w:rsidR="0047229D" w:rsidRDefault="0047229D" w:rsidP="00B65C2C">
      <w:pPr>
        <w:ind w:left="284" w:firstLine="360"/>
        <w:jc w:val="both"/>
        <w:rPr>
          <w:rStyle w:val="Emphasis"/>
          <w:i w:val="0"/>
          <w:sz w:val="22"/>
          <w:szCs w:val="22"/>
          <w:lang w:val="en-GB"/>
        </w:rPr>
      </w:pPr>
      <w:r w:rsidRPr="00043976">
        <w:rPr>
          <w:rStyle w:val="Emphasis"/>
          <w:i w:val="0"/>
          <w:sz w:val="22"/>
          <w:szCs w:val="22"/>
          <w:lang w:val="en-GB"/>
        </w:rPr>
        <w:t xml:space="preserve"> Ministry of Environment and Physical Planning, Republic of North Macedonia</w:t>
      </w:r>
    </w:p>
    <w:p w14:paraId="283056D6" w14:textId="77777777" w:rsidR="00FB6BDC" w:rsidRPr="00043976" w:rsidRDefault="00FB6BDC" w:rsidP="00B65C2C">
      <w:pPr>
        <w:ind w:left="284" w:firstLine="360"/>
        <w:jc w:val="both"/>
        <w:rPr>
          <w:sz w:val="22"/>
          <w:szCs w:val="22"/>
          <w:lang w:val="en-GB"/>
        </w:rPr>
      </w:pPr>
    </w:p>
    <w:p w14:paraId="77799466" w14:textId="77777777" w:rsidR="00E23824" w:rsidRPr="003F1149" w:rsidRDefault="00E23824" w:rsidP="00C65475">
      <w:pPr>
        <w:keepNext/>
        <w:keepLines/>
        <w:widowControl/>
        <w:tabs>
          <w:tab w:val="left" w:pos="1134"/>
        </w:tabs>
        <w:snapToGrid w:val="0"/>
        <w:ind w:left="709"/>
        <w:jc w:val="center"/>
        <w:rPr>
          <w:rStyle w:val="Strong"/>
          <w:sz w:val="28"/>
          <w:szCs w:val="28"/>
          <w:lang w:val="en-GB"/>
        </w:rPr>
      </w:pPr>
      <w:r w:rsidRPr="003F1149">
        <w:rPr>
          <w:rStyle w:val="Strong"/>
          <w:sz w:val="28"/>
          <w:szCs w:val="28"/>
          <w:lang w:val="en-GB"/>
        </w:rPr>
        <w:t>CONTRACT SPECIFICATIONS</w:t>
      </w:r>
    </w:p>
    <w:p w14:paraId="0E3F0937" w14:textId="77777777" w:rsidR="00E23824" w:rsidRPr="00A336A0" w:rsidRDefault="00C81650" w:rsidP="00C65475">
      <w:pPr>
        <w:keepNext/>
        <w:keepLines/>
        <w:widowControl/>
        <w:numPr>
          <w:ilvl w:val="0"/>
          <w:numId w:val="35"/>
        </w:numPr>
        <w:tabs>
          <w:tab w:val="clear" w:pos="644"/>
          <w:tab w:val="num" w:pos="709"/>
        </w:tabs>
        <w:ind w:left="709" w:hanging="425"/>
        <w:outlineLvl w:val="0"/>
        <w:rPr>
          <w:rStyle w:val="Strong"/>
          <w:szCs w:val="24"/>
          <w:lang w:val="en-GB"/>
        </w:rPr>
      </w:pPr>
      <w:r>
        <w:rPr>
          <w:b/>
          <w:noProof/>
          <w:snapToGrid/>
          <w:sz w:val="28"/>
          <w:szCs w:val="28"/>
          <w:lang w:val="mk-MK" w:eastAsia="mk-MK"/>
        </w:rPr>
        <mc:AlternateContent>
          <mc:Choice Requires="wps">
            <w:drawing>
              <wp:anchor distT="0" distB="0" distL="114300" distR="114300" simplePos="0" relativeHeight="251658752" behindDoc="0" locked="0" layoutInCell="0" allowOverlap="1" wp14:anchorId="6019F8E1" wp14:editId="540EA524">
                <wp:simplePos x="0" y="0"/>
                <wp:positionH relativeFrom="column">
                  <wp:posOffset>142875</wp:posOffset>
                </wp:positionH>
                <wp:positionV relativeFrom="paragraph">
                  <wp:posOffset>-374015</wp:posOffset>
                </wp:positionV>
                <wp:extent cx="5943600" cy="63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C168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9.45pt" to="479.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" o:allowincell="f" strokecolor="#d4d4d4" strokeweight="1.75pt">
                <v:shadow on="t" offset="0,-1pt"/>
              </v:line>
            </w:pict>
          </mc:Fallback>
        </mc:AlternateContent>
      </w:r>
      <w:r w:rsidR="00E23824" w:rsidRPr="00A336A0">
        <w:rPr>
          <w:rStyle w:val="Strong"/>
          <w:szCs w:val="24"/>
          <w:lang w:val="en-GB"/>
        </w:rPr>
        <w:t xml:space="preserve">Description of the contract </w:t>
      </w:r>
    </w:p>
    <w:p w14:paraId="235135B6" w14:textId="4E26661B" w:rsidR="00E23824" w:rsidRPr="00FB6BDC" w:rsidRDefault="0047229D" w:rsidP="00FB6BDC">
      <w:pPr>
        <w:pStyle w:val="Blockquote"/>
        <w:ind w:left="709" w:right="1"/>
        <w:jc w:val="both"/>
        <w:rPr>
          <w:sz w:val="22"/>
          <w:szCs w:val="22"/>
          <w:lang w:val="en-GB"/>
        </w:rPr>
      </w:pPr>
      <w:r w:rsidRPr="00FB6BDC">
        <w:rPr>
          <w:sz w:val="22"/>
          <w:szCs w:val="22"/>
          <w:lang w:val="en-GB"/>
        </w:rPr>
        <w:t>The subject of the contract is the supply, delivery, unloading, installation, testing, training and putting into operation by the contractor of the air quality monitoring equipment</w:t>
      </w:r>
      <w:r w:rsidR="00891CC5" w:rsidRPr="00FB6BDC">
        <w:rPr>
          <w:sz w:val="22"/>
          <w:szCs w:val="22"/>
          <w:lang w:val="en-GB"/>
        </w:rPr>
        <w:t xml:space="preserve">. The equipment shall include: 1 (one) air quality monitoring station in </w:t>
      </w:r>
      <w:proofErr w:type="spellStart"/>
      <w:r w:rsidR="00891CC5" w:rsidRPr="00FB6BDC">
        <w:rPr>
          <w:sz w:val="22"/>
          <w:szCs w:val="22"/>
          <w:lang w:val="en-GB"/>
        </w:rPr>
        <w:t>Gevgelija</w:t>
      </w:r>
      <w:proofErr w:type="spellEnd"/>
      <w:r w:rsidR="00891CC5" w:rsidRPr="00FB6BDC">
        <w:rPr>
          <w:sz w:val="22"/>
          <w:szCs w:val="22"/>
          <w:lang w:val="en-GB"/>
        </w:rPr>
        <w:t xml:space="preserve"> and upgrading of the air quality monitoring station in Bitola</w:t>
      </w:r>
      <w:r w:rsidR="00891CC5" w:rsidRPr="00FB6BDC">
        <w:rPr>
          <w:sz w:val="22"/>
          <w:lang w:val="en-GB"/>
        </w:rPr>
        <w:t xml:space="preserve">. </w:t>
      </w:r>
    </w:p>
    <w:p w14:paraId="7D863977" w14:textId="77777777" w:rsidR="00E23824" w:rsidRPr="00A336A0" w:rsidRDefault="00E23824" w:rsidP="00A506DB">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Number and titles of lots</w:t>
      </w:r>
    </w:p>
    <w:p w14:paraId="21578CD5" w14:textId="43982382" w:rsidR="00FC0F2D" w:rsidRDefault="00FC0F2D" w:rsidP="00FC0F2D">
      <w:pPr>
        <w:pStyle w:val="Blockquote"/>
        <w:ind w:left="709"/>
        <w:jc w:val="both"/>
        <w:rPr>
          <w:rStyle w:val="Emphasis"/>
          <w:i w:val="0"/>
          <w:sz w:val="22"/>
          <w:szCs w:val="22"/>
          <w:lang w:val="en-GB"/>
        </w:rPr>
      </w:pPr>
      <w:r w:rsidRPr="00B65C2C">
        <w:rPr>
          <w:rStyle w:val="Emphasis"/>
          <w:i w:val="0"/>
          <w:sz w:val="22"/>
          <w:szCs w:val="22"/>
          <w:lang w:val="en-GB"/>
        </w:rPr>
        <w:t>One lot only</w:t>
      </w:r>
    </w:p>
    <w:p w14:paraId="188304F0" w14:textId="77777777" w:rsidR="00E23824" w:rsidRPr="003F1149" w:rsidRDefault="00C81650" w:rsidP="0088725C">
      <w:pPr>
        <w:pStyle w:val="Blockquote"/>
        <w:spacing w:before="400"/>
        <w:ind w:left="357" w:right="0"/>
        <w:jc w:val="center"/>
        <w:rPr>
          <w:rStyle w:val="Strong"/>
          <w:sz w:val="28"/>
          <w:szCs w:val="28"/>
          <w:lang w:val="en-GB"/>
        </w:rPr>
      </w:pPr>
      <w:r>
        <w:rPr>
          <w:b/>
          <w:noProof/>
          <w:snapToGrid/>
          <w:sz w:val="28"/>
          <w:szCs w:val="28"/>
          <w:lang w:val="mk-MK" w:eastAsia="mk-MK"/>
        </w:rPr>
        <mc:AlternateContent>
          <mc:Choice Requires="wps">
            <w:drawing>
              <wp:anchor distT="0" distB="0" distL="114300" distR="114300" simplePos="0" relativeHeight="251659776" behindDoc="0" locked="0" layoutInCell="0" allowOverlap="1" wp14:anchorId="10BE3A06" wp14:editId="6CC4A236">
                <wp:simplePos x="0" y="0"/>
                <wp:positionH relativeFrom="column">
                  <wp:posOffset>200025</wp:posOffset>
                </wp:positionH>
                <wp:positionV relativeFrom="paragraph">
                  <wp:posOffset>182880</wp:posOffset>
                </wp:positionV>
                <wp:extent cx="5943600"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92744"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" o:allowincell="f" strokecolor="#d4d4d4" strokeweight="1.75pt">
                <v:shadow on="t" offset="0,-1pt"/>
              </v:line>
            </w:pict>
          </mc:Fallback>
        </mc:AlternateContent>
      </w:r>
      <w:r w:rsidR="00E23824" w:rsidRPr="003F1149">
        <w:rPr>
          <w:rStyle w:val="Strong"/>
          <w:sz w:val="28"/>
          <w:szCs w:val="28"/>
          <w:lang w:val="en-GB"/>
        </w:rPr>
        <w:t>TERMS OF PARTICIPATION</w:t>
      </w:r>
    </w:p>
    <w:p w14:paraId="75612734" w14:textId="77777777" w:rsidR="00E23824" w:rsidRDefault="00E23824" w:rsidP="00AF3DC9">
      <w:pPr>
        <w:numPr>
          <w:ilvl w:val="0"/>
          <w:numId w:val="35"/>
        </w:numPr>
        <w:tabs>
          <w:tab w:val="clear" w:pos="644"/>
          <w:tab w:val="num" w:pos="709"/>
        </w:tabs>
        <w:ind w:left="709"/>
        <w:outlineLvl w:val="0"/>
        <w:rPr>
          <w:rStyle w:val="Strong"/>
          <w:szCs w:val="24"/>
          <w:lang w:val="en-GB"/>
        </w:rPr>
      </w:pPr>
      <w:r w:rsidRPr="00A336A0">
        <w:rPr>
          <w:rStyle w:val="Strong"/>
          <w:szCs w:val="24"/>
          <w:lang w:val="en-GB"/>
        </w:rPr>
        <w:t>Eligibility and rules of origin</w:t>
      </w:r>
      <w:r w:rsidR="00AF346B" w:rsidRPr="00A336A0">
        <w:rPr>
          <w:rStyle w:val="Strong"/>
          <w:szCs w:val="24"/>
          <w:lang w:val="en-GB"/>
        </w:rPr>
        <w:t xml:space="preserve"> </w:t>
      </w:r>
    </w:p>
    <w:p w14:paraId="7728C76E" w14:textId="74E52CF9" w:rsidR="00AA6685" w:rsidRPr="000C78B5" w:rsidRDefault="00AA6685" w:rsidP="00AC2A69">
      <w:pPr>
        <w:pStyle w:val="Blockquote"/>
        <w:ind w:left="709" w:right="1"/>
        <w:jc w:val="both"/>
        <w:rPr>
          <w:sz w:val="22"/>
          <w:szCs w:val="22"/>
          <w:lang w:val="en-GB"/>
        </w:rPr>
      </w:pPr>
      <w:bookmarkStart w:id="0" w:name="_DV_M201"/>
      <w:bookmarkEnd w:id="0"/>
      <w:r w:rsidRPr="000C78B5">
        <w:rPr>
          <w:sz w:val="22"/>
          <w:szCs w:val="22"/>
          <w:lang w:val="en-GB"/>
        </w:rPr>
        <w:t xml:space="preserve">Participation is open to all </w:t>
      </w:r>
      <w:r w:rsidRPr="000C78B5">
        <w:rPr>
          <w:rFonts w:eastAsia="Calibri" w:cs="Arial"/>
          <w:sz w:val="22"/>
          <w:szCs w:val="22"/>
        </w:rPr>
        <w:t xml:space="preserve">natural persons who are nationals of and </w:t>
      </w:r>
      <w:r w:rsidRPr="000C78B5">
        <w:rPr>
          <w:sz w:val="22"/>
          <w:szCs w:val="22"/>
          <w:lang w:val="en-GB"/>
        </w:rPr>
        <w:t xml:space="preserve">legal persons (participating either individually or in a grouping – consortium – of tenderers) which are effectively established in a  Member State of the European Union or in a eligible country or territory  as defined under </w:t>
      </w:r>
      <w:r w:rsidRPr="000C78B5">
        <w:rPr>
          <w:rFonts w:eastAsia="Calibri" w:cs="Arial"/>
          <w:bCs/>
          <w:snapToGrid/>
          <w:sz w:val="22"/>
          <w:szCs w:val="22"/>
        </w:rPr>
        <w:t xml:space="preserve">the Regulation </w:t>
      </w:r>
      <w:r w:rsidRPr="000C78B5">
        <w:rPr>
          <w:sz w:val="22"/>
          <w:szCs w:val="22"/>
          <w:lang w:val="en-GB"/>
        </w:rPr>
        <w:t>(EU) No </w:t>
      </w:r>
      <w:r w:rsidRPr="000C78B5">
        <w:rPr>
          <w:rFonts w:eastAsia="MS Mincho"/>
          <w:noProof/>
          <w:sz w:val="22"/>
          <w:szCs w:val="22"/>
          <w:lang w:val="en-GB" w:eastAsia="ja-JP"/>
        </w:rPr>
        <w:t xml:space="preserve">236/2014 </w:t>
      </w:r>
      <w:r w:rsidRPr="000C78B5">
        <w:rPr>
          <w:rFonts w:eastAsia="Calibri" w:cs="Arial"/>
          <w:bCs/>
          <w:snapToGrid/>
          <w:sz w:val="22"/>
          <w:szCs w:val="22"/>
        </w:rPr>
        <w:t xml:space="preserve">establishing common rules and procedures for the implementation of the Union's instruments for external action (CIR) </w:t>
      </w:r>
      <w:r w:rsidRPr="000C78B5">
        <w:rPr>
          <w:sz w:val="22"/>
          <w:szCs w:val="22"/>
          <w:lang w:val="en-GB"/>
        </w:rPr>
        <w:t>for the applicable instrument under which the contract is financed (see also heading 22 below)</w:t>
      </w:r>
      <w:r w:rsidRPr="000C78B5">
        <w:rPr>
          <w:rFonts w:eastAsia="Calibri" w:cs="Arial"/>
          <w:sz w:val="22"/>
          <w:szCs w:val="22"/>
        </w:rPr>
        <w:t xml:space="preserve">. </w:t>
      </w:r>
      <w:r w:rsidRPr="000C78B5">
        <w:rPr>
          <w:sz w:val="22"/>
          <w:szCs w:val="22"/>
          <w:lang w:val="en-GB"/>
        </w:rPr>
        <w:t>Participation is also open to international organisations.</w:t>
      </w:r>
    </w:p>
    <w:p w14:paraId="7F3D7CAE" w14:textId="3FCA5763" w:rsidR="00AA6685" w:rsidRPr="000C78B5" w:rsidRDefault="00AA6685" w:rsidP="00AC2A69">
      <w:pPr>
        <w:pStyle w:val="Blockquote"/>
        <w:ind w:left="709" w:right="1"/>
        <w:jc w:val="both"/>
        <w:rPr>
          <w:sz w:val="22"/>
          <w:szCs w:val="22"/>
          <w:lang w:val="en-GB"/>
        </w:rPr>
      </w:pPr>
      <w:r w:rsidRPr="000C78B5">
        <w:rPr>
          <w:sz w:val="22"/>
          <w:szCs w:val="22"/>
          <w:lang w:val="en-GB"/>
        </w:rPr>
        <w:t>All supplies under this contract must originate in one or more of these countries.</w:t>
      </w:r>
    </w:p>
    <w:p w14:paraId="5BE74F96" w14:textId="6F4549EA" w:rsidR="00AA6685" w:rsidRPr="00216908" w:rsidRDefault="00AA6685" w:rsidP="00AA6685">
      <w:pPr>
        <w:widowControl/>
        <w:spacing w:before="0" w:after="0"/>
        <w:ind w:left="709"/>
        <w:jc w:val="both"/>
        <w:rPr>
          <w:snapToGrid/>
          <w:sz w:val="22"/>
          <w:szCs w:val="22"/>
          <w:lang w:val="en-GB"/>
        </w:rPr>
      </w:pPr>
      <w:r w:rsidRPr="000C78B5">
        <w:rPr>
          <w:rFonts w:eastAsia="Calibri"/>
          <w:snapToGrid/>
          <w:sz w:val="22"/>
          <w:szCs w:val="22"/>
          <w:lang w:val="en-GB"/>
        </w:rPr>
        <w:t>Please</w:t>
      </w:r>
      <w:r w:rsidRPr="000C78B5">
        <w:rPr>
          <w:rFonts w:eastAsia="Calibri"/>
          <w:i/>
          <w:snapToGrid/>
          <w:sz w:val="22"/>
          <w:szCs w:val="22"/>
          <w:lang w:val="en-GB"/>
        </w:rPr>
        <w:t xml:space="preserve"> </w:t>
      </w:r>
      <w:r w:rsidRPr="000C78B5">
        <w:rPr>
          <w:rFonts w:eastAsia="Calibri"/>
          <w:snapToGrid/>
          <w:sz w:val="22"/>
          <w:szCs w:val="22"/>
          <w:lang w:val="en-GB"/>
        </w:rPr>
        <w:t xml:space="preserve">be aware that after the United Kingdom's withdrawal from the EU, the rules of access to EU procurement procedures of economic operators established in third countries and of goods originating from third countries will apply to candidates or tenderers from the United Kingdom, and to all candidates or tenderers proposing goods originating from the United Kingdom depending on the outcome of negotiations. In case such access is not provided by legal provisions in force at the time of the contract award, candidates or tenderers from the United </w:t>
      </w:r>
      <w:r w:rsidRPr="000C78B5">
        <w:rPr>
          <w:rFonts w:eastAsia="Calibri"/>
          <w:snapToGrid/>
          <w:sz w:val="22"/>
          <w:szCs w:val="22"/>
          <w:lang w:val="en-GB"/>
        </w:rPr>
        <w:lastRenderedPageBreak/>
        <w:t>Kingdom, and candidates or tenderers proposing goods originating from the United Kingdom could be rejected from the procurement procedure</w:t>
      </w:r>
      <w:r w:rsidRPr="000C78B5">
        <w:rPr>
          <w:snapToGrid/>
          <w:sz w:val="22"/>
          <w:szCs w:val="22"/>
          <w:lang w:val="en-GB"/>
        </w:rPr>
        <w:t>.</w:t>
      </w:r>
    </w:p>
    <w:p w14:paraId="7A2E43AD" w14:textId="77777777" w:rsidR="00AA6685" w:rsidRPr="00AA6685" w:rsidRDefault="00AA6685" w:rsidP="00AC2A69">
      <w:pPr>
        <w:pStyle w:val="Blockquote"/>
        <w:ind w:left="709" w:right="1"/>
        <w:jc w:val="both"/>
        <w:rPr>
          <w:b/>
          <w:sz w:val="22"/>
          <w:szCs w:val="22"/>
        </w:rPr>
      </w:pPr>
    </w:p>
    <w:p w14:paraId="0EAA29A0"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Grounds for exclusion</w:t>
      </w:r>
    </w:p>
    <w:p w14:paraId="310B9E84" w14:textId="77777777" w:rsidR="00E23824" w:rsidRDefault="00E23824" w:rsidP="00AC2A69">
      <w:pPr>
        <w:pStyle w:val="Blockquote"/>
        <w:ind w:left="709" w:right="1"/>
        <w:jc w:val="both"/>
        <w:rPr>
          <w:sz w:val="22"/>
          <w:szCs w:val="22"/>
          <w:lang w:val="en-GB"/>
        </w:rPr>
      </w:pPr>
      <w:r w:rsidRPr="003F1149">
        <w:rPr>
          <w:sz w:val="22"/>
          <w:szCs w:val="22"/>
          <w:lang w:val="en-GB"/>
        </w:rPr>
        <w:t xml:space="preserve">Tenderers must </w:t>
      </w:r>
      <w:r w:rsidR="006A1583" w:rsidRPr="003F1149">
        <w:rPr>
          <w:sz w:val="22"/>
          <w:szCs w:val="22"/>
          <w:lang w:val="en-GB"/>
        </w:rPr>
        <w:t xml:space="preserve">submit a </w:t>
      </w:r>
      <w:r w:rsidR="00AF346B" w:rsidRPr="003F1149">
        <w:rPr>
          <w:sz w:val="22"/>
          <w:szCs w:val="22"/>
          <w:lang w:val="en-GB"/>
        </w:rPr>
        <w:t xml:space="preserve">signed </w:t>
      </w:r>
      <w:r w:rsidR="00DC2049" w:rsidRPr="003F1149">
        <w:rPr>
          <w:sz w:val="22"/>
          <w:szCs w:val="22"/>
          <w:lang w:val="en-GB"/>
        </w:rPr>
        <w:t xml:space="preserve">declaration, included in the </w:t>
      </w:r>
      <w:r w:rsidR="00A62F09">
        <w:rPr>
          <w:sz w:val="22"/>
          <w:szCs w:val="22"/>
          <w:lang w:val="en-GB"/>
        </w:rPr>
        <w:t>t</w:t>
      </w:r>
      <w:r w:rsidR="00DC2049" w:rsidRPr="003F1149">
        <w:rPr>
          <w:sz w:val="22"/>
          <w:szCs w:val="22"/>
          <w:lang w:val="en-GB"/>
        </w:rPr>
        <w:t xml:space="preserve">ender </w:t>
      </w:r>
      <w:r w:rsidR="00A62F09">
        <w:rPr>
          <w:sz w:val="22"/>
          <w:szCs w:val="22"/>
          <w:lang w:val="en-GB"/>
        </w:rPr>
        <w:t>f</w:t>
      </w:r>
      <w:r w:rsidR="00DC2049" w:rsidRPr="003F1149">
        <w:rPr>
          <w:sz w:val="22"/>
          <w:szCs w:val="22"/>
          <w:lang w:val="en-GB"/>
        </w:rPr>
        <w:t xml:space="preserve">orm for a </w:t>
      </w:r>
      <w:r w:rsidR="00A62F09">
        <w:rPr>
          <w:sz w:val="22"/>
          <w:szCs w:val="22"/>
          <w:lang w:val="en-GB"/>
        </w:rPr>
        <w:t>s</w:t>
      </w:r>
      <w:r w:rsidR="00DC2049" w:rsidRPr="003F1149">
        <w:rPr>
          <w:sz w:val="22"/>
          <w:szCs w:val="22"/>
          <w:lang w:val="en-GB"/>
        </w:rPr>
        <w:t xml:space="preserve">upply </w:t>
      </w:r>
      <w:r w:rsidR="00A62F09">
        <w:rPr>
          <w:sz w:val="22"/>
          <w:szCs w:val="22"/>
          <w:lang w:val="en-GB"/>
        </w:rPr>
        <w:t>c</w:t>
      </w:r>
      <w:r w:rsidR="00DC2049" w:rsidRPr="003F1149">
        <w:rPr>
          <w:sz w:val="22"/>
          <w:szCs w:val="22"/>
          <w:lang w:val="en-GB"/>
        </w:rPr>
        <w:t xml:space="preserve">ontract, </w:t>
      </w:r>
      <w:r w:rsidR="006A1583" w:rsidRPr="003F1149">
        <w:rPr>
          <w:sz w:val="22"/>
          <w:szCs w:val="22"/>
          <w:lang w:val="en-GB"/>
        </w:rPr>
        <w:t xml:space="preserve">to the effect </w:t>
      </w:r>
      <w:r w:rsidRPr="003F1149">
        <w:rPr>
          <w:sz w:val="22"/>
          <w:szCs w:val="22"/>
          <w:lang w:val="en-GB"/>
        </w:rPr>
        <w:t xml:space="preserve">that they are not in any of </w:t>
      </w:r>
      <w:r w:rsidRPr="002116E1">
        <w:rPr>
          <w:sz w:val="22"/>
          <w:szCs w:val="22"/>
          <w:lang w:val="en-GB"/>
        </w:rPr>
        <w:t xml:space="preserve">the situations listed in </w:t>
      </w:r>
      <w:r w:rsidR="00216908">
        <w:rPr>
          <w:sz w:val="22"/>
          <w:szCs w:val="22"/>
          <w:lang w:val="en-GB"/>
        </w:rPr>
        <w:t>S</w:t>
      </w:r>
      <w:r w:rsidR="00A62F09">
        <w:rPr>
          <w:sz w:val="22"/>
          <w:szCs w:val="22"/>
          <w:lang w:val="en-GB"/>
        </w:rPr>
        <w:t>ection</w:t>
      </w:r>
      <w:r w:rsidRPr="002116E1">
        <w:rPr>
          <w:sz w:val="22"/>
          <w:szCs w:val="22"/>
          <w:lang w:val="en-GB"/>
        </w:rPr>
        <w:t xml:space="preserve"> </w:t>
      </w:r>
      <w:r w:rsidR="00A62F09">
        <w:rPr>
          <w:sz w:val="22"/>
          <w:szCs w:val="22"/>
          <w:lang w:val="en-GB"/>
        </w:rPr>
        <w:t>2.6.10.1.</w:t>
      </w:r>
      <w:r w:rsidRPr="002116E1">
        <w:rPr>
          <w:sz w:val="22"/>
          <w:szCs w:val="22"/>
          <w:lang w:val="en-GB"/>
        </w:rPr>
        <w:t xml:space="preserve"> of the </w:t>
      </w:r>
      <w:r w:rsidR="00216908">
        <w:rPr>
          <w:sz w:val="22"/>
          <w:szCs w:val="22"/>
          <w:lang w:val="en-GB"/>
        </w:rPr>
        <w:t>p</w:t>
      </w:r>
      <w:r w:rsidRPr="002116E1">
        <w:rPr>
          <w:sz w:val="22"/>
          <w:szCs w:val="22"/>
          <w:lang w:val="en-GB"/>
        </w:rPr>
        <w:t xml:space="preserve">ractical </w:t>
      </w:r>
      <w:r w:rsidR="00216908">
        <w:rPr>
          <w:sz w:val="22"/>
          <w:szCs w:val="22"/>
          <w:lang w:val="en-GB"/>
        </w:rPr>
        <w:t>g</w:t>
      </w:r>
      <w:r w:rsidRPr="002116E1">
        <w:rPr>
          <w:sz w:val="22"/>
          <w:szCs w:val="22"/>
          <w:lang w:val="en-GB"/>
        </w:rPr>
        <w:t>uide.</w:t>
      </w:r>
    </w:p>
    <w:p w14:paraId="25CCFB0E" w14:textId="77777777" w:rsidR="000170E4" w:rsidRPr="003F1149" w:rsidRDefault="000170E4" w:rsidP="00AC2A69">
      <w:pPr>
        <w:pStyle w:val="Blockquote"/>
        <w:ind w:left="709" w:right="1"/>
        <w:jc w:val="both"/>
        <w:rPr>
          <w:b/>
          <w:i/>
          <w:sz w:val="22"/>
          <w:szCs w:val="22"/>
          <w:lang w:val="en-GB"/>
        </w:rPr>
      </w:pPr>
      <w:r>
        <w:rPr>
          <w:sz w:val="22"/>
          <w:szCs w:val="22"/>
          <w:lang w:val="en-GB"/>
        </w:rPr>
        <w:t xml:space="preserve">Tenderers included in the lists of EU restrictive measures (see Section </w:t>
      </w:r>
      <w:r w:rsidR="00216908">
        <w:rPr>
          <w:sz w:val="22"/>
          <w:szCs w:val="22"/>
          <w:lang w:val="en-GB"/>
        </w:rPr>
        <w:t>2.4.</w:t>
      </w:r>
      <w:r>
        <w:rPr>
          <w:sz w:val="22"/>
          <w:szCs w:val="22"/>
          <w:lang w:val="en-GB"/>
        </w:rPr>
        <w:t xml:space="preserve"> of the PRAG) at the moment of the award decision cannot be awarded the contract. </w:t>
      </w:r>
    </w:p>
    <w:p w14:paraId="43C81E67" w14:textId="77777777" w:rsidR="00E23824" w:rsidRPr="00A336A0" w:rsidRDefault="00E23824" w:rsidP="003319C5">
      <w:pPr>
        <w:keepNext/>
        <w:keepLines/>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Number of tenders</w:t>
      </w:r>
    </w:p>
    <w:p w14:paraId="00E8B819" w14:textId="4FDB30B3" w:rsidR="00351122" w:rsidRDefault="00351122" w:rsidP="003319C5">
      <w:pPr>
        <w:widowControl/>
        <w:snapToGrid w:val="0"/>
        <w:ind w:left="644" w:right="26"/>
        <w:jc w:val="both"/>
        <w:rPr>
          <w:sz w:val="22"/>
          <w:szCs w:val="22"/>
          <w:lang w:val="en-GB"/>
        </w:rPr>
      </w:pPr>
      <w:r w:rsidRPr="003F1149">
        <w:rPr>
          <w:sz w:val="22"/>
          <w:szCs w:val="22"/>
          <w:lang w:val="en-GB"/>
        </w:rPr>
        <w:t xml:space="preserve">Tenders for parts of a lot will not be considered. </w:t>
      </w:r>
      <w:r w:rsidRPr="00D35165">
        <w:rPr>
          <w:sz w:val="22"/>
          <w:szCs w:val="22"/>
          <w:lang w:val="en-GB"/>
        </w:rPr>
        <w:t xml:space="preserve">Tenderers </w:t>
      </w:r>
      <w:r w:rsidRPr="00B3128F">
        <w:rPr>
          <w:sz w:val="22"/>
          <w:szCs w:val="22"/>
          <w:lang w:val="en-GB"/>
        </w:rPr>
        <w:t>may not</w:t>
      </w:r>
      <w:r w:rsidRPr="003F1149">
        <w:rPr>
          <w:sz w:val="22"/>
          <w:szCs w:val="22"/>
          <w:lang w:val="en-GB"/>
        </w:rPr>
        <w:t xml:space="preserve"> submit a tender for a variant solution in addition to their tender for the supplies required in the tender dossier.</w:t>
      </w:r>
    </w:p>
    <w:p w14:paraId="7AEB53D8" w14:textId="67941F77" w:rsidR="00E23824" w:rsidRPr="003319C5" w:rsidRDefault="00E23824" w:rsidP="003319C5">
      <w:pPr>
        <w:widowControl/>
        <w:snapToGrid w:val="0"/>
        <w:ind w:left="644" w:right="26"/>
        <w:jc w:val="both"/>
        <w:rPr>
          <w:rFonts w:eastAsia="Calibri"/>
          <w:i/>
          <w:iCs/>
          <w:snapToGrid/>
          <w:sz w:val="22"/>
          <w:szCs w:val="22"/>
          <w:lang w:val="en-GB"/>
        </w:rPr>
      </w:pPr>
      <w:r w:rsidRPr="003F1149">
        <w:rPr>
          <w:sz w:val="22"/>
          <w:szCs w:val="22"/>
          <w:lang w:val="en-GB"/>
        </w:rPr>
        <w:t xml:space="preserve">Any tenderer may state in its tender that it would offer a discount in the event that its tender is accepted for more than one lot. </w:t>
      </w:r>
    </w:p>
    <w:p w14:paraId="30FC9196"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Tender guarantee</w:t>
      </w:r>
    </w:p>
    <w:p w14:paraId="646A0021" w14:textId="21EF8ED7" w:rsidR="00E23824" w:rsidRPr="003F1149" w:rsidRDefault="00E23824" w:rsidP="00AC2A69">
      <w:pPr>
        <w:pStyle w:val="Blockquote"/>
        <w:ind w:left="709" w:right="1"/>
        <w:jc w:val="both"/>
        <w:rPr>
          <w:sz w:val="22"/>
          <w:szCs w:val="22"/>
          <w:lang w:val="en-GB"/>
        </w:rPr>
      </w:pPr>
      <w:r w:rsidRPr="00B65C2C">
        <w:rPr>
          <w:sz w:val="22"/>
          <w:szCs w:val="22"/>
          <w:lang w:val="en-GB"/>
        </w:rPr>
        <w:t xml:space="preserve">Tenderers must provide a tender guarantee of </w:t>
      </w:r>
      <w:r w:rsidR="0047229D" w:rsidRPr="00B65C2C">
        <w:rPr>
          <w:b/>
          <w:bCs/>
          <w:sz w:val="22"/>
          <w:szCs w:val="22"/>
          <w:lang w:val="en-GB"/>
        </w:rPr>
        <w:t>4,500 EUR</w:t>
      </w:r>
      <w:r w:rsidRPr="00B65C2C">
        <w:rPr>
          <w:sz w:val="22"/>
          <w:szCs w:val="22"/>
          <w:lang w:val="en-GB"/>
        </w:rPr>
        <w:t xml:space="preserve"> when submitting their tender. This guarantee will be released to unsuccessful tenderers once the tender procedure has been completed and to the successful tenderer</w:t>
      </w:r>
      <w:r w:rsidR="00E524DE" w:rsidRPr="00B65C2C">
        <w:rPr>
          <w:sz w:val="22"/>
          <w:szCs w:val="22"/>
          <w:lang w:val="en-GB"/>
        </w:rPr>
        <w:t>[</w:t>
      </w:r>
      <w:r w:rsidRPr="00B65C2C">
        <w:rPr>
          <w:sz w:val="22"/>
          <w:szCs w:val="22"/>
          <w:lang w:val="en-GB"/>
        </w:rPr>
        <w:t>s</w:t>
      </w:r>
      <w:r w:rsidR="00E524DE" w:rsidRPr="00B65C2C">
        <w:rPr>
          <w:sz w:val="22"/>
          <w:szCs w:val="22"/>
          <w:lang w:val="en-GB"/>
        </w:rPr>
        <w:t>]</w:t>
      </w:r>
      <w:r w:rsidRPr="00B65C2C">
        <w:rPr>
          <w:sz w:val="22"/>
          <w:szCs w:val="22"/>
          <w:lang w:val="en-GB"/>
        </w:rPr>
        <w:t xml:space="preserve"> upon signature of the contract by all parties. This guarantee will be called upon if the tenderer does not fulfil all obligations stated in its tender.</w:t>
      </w:r>
    </w:p>
    <w:p w14:paraId="330FBB5D" w14:textId="77777777" w:rsidR="00E23824" w:rsidRPr="00A336A0" w:rsidRDefault="00E23824" w:rsidP="00AC2A69">
      <w:pPr>
        <w:keepNext/>
        <w:keepLines/>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Performance guarantee</w:t>
      </w:r>
    </w:p>
    <w:p w14:paraId="7D93A703" w14:textId="2EE8FD17" w:rsidR="00E23824" w:rsidRPr="006B31D5" w:rsidRDefault="00E23824" w:rsidP="00AC2A69">
      <w:pPr>
        <w:pStyle w:val="Blockquote"/>
        <w:spacing w:after="120"/>
        <w:ind w:left="709" w:right="1"/>
        <w:jc w:val="both"/>
        <w:rPr>
          <w:color w:val="000000"/>
          <w:sz w:val="22"/>
          <w:szCs w:val="22"/>
          <w:lang w:val="en-GB"/>
        </w:rPr>
      </w:pPr>
      <w:r w:rsidRPr="00B65C2C">
        <w:rPr>
          <w:color w:val="000000"/>
          <w:sz w:val="22"/>
          <w:szCs w:val="22"/>
          <w:lang w:val="en-GB"/>
        </w:rPr>
        <w:t xml:space="preserve">The successful tenderer will be asked to provide a performance guarantee of 10% of the amount of the contract at the signing of the contract. This guarantee must be provided </w:t>
      </w:r>
      <w:r w:rsidR="00A04F2C" w:rsidRPr="00B65C2C">
        <w:rPr>
          <w:color w:val="000000"/>
          <w:sz w:val="22"/>
          <w:szCs w:val="22"/>
          <w:lang w:val="en-GB"/>
        </w:rPr>
        <w:t xml:space="preserve">together with the return of the countersigned contract </w:t>
      </w:r>
      <w:r w:rsidRPr="00B65C2C">
        <w:rPr>
          <w:color w:val="000000"/>
          <w:sz w:val="22"/>
          <w:szCs w:val="22"/>
          <w:lang w:val="en-GB"/>
        </w:rPr>
        <w:t xml:space="preserve">no later than 30 days after the tenderer receives the contract signed by the </w:t>
      </w:r>
      <w:r w:rsidR="00A62F09" w:rsidRPr="00B65C2C">
        <w:rPr>
          <w:color w:val="000000"/>
          <w:sz w:val="22"/>
          <w:szCs w:val="22"/>
          <w:lang w:val="en-GB"/>
        </w:rPr>
        <w:t>c</w:t>
      </w:r>
      <w:r w:rsidRPr="00B65C2C">
        <w:rPr>
          <w:color w:val="000000"/>
          <w:sz w:val="22"/>
          <w:szCs w:val="22"/>
          <w:lang w:val="en-GB"/>
        </w:rPr>
        <w:t xml:space="preserve">ontracting </w:t>
      </w:r>
      <w:r w:rsidR="00A62F09" w:rsidRPr="00B65C2C">
        <w:rPr>
          <w:color w:val="000000"/>
          <w:sz w:val="22"/>
          <w:szCs w:val="22"/>
          <w:lang w:val="en-GB"/>
        </w:rPr>
        <w:t>a</w:t>
      </w:r>
      <w:r w:rsidRPr="00B65C2C">
        <w:rPr>
          <w:color w:val="000000"/>
          <w:sz w:val="22"/>
          <w:szCs w:val="22"/>
          <w:lang w:val="en-GB"/>
        </w:rPr>
        <w:t xml:space="preserve">uthority. If the selected tenderer fails to provide such a guarantee within this period, the contract will be void and a new contract may be drawn up and sent to the tenderer which has submitted the next </w:t>
      </w:r>
      <w:r w:rsidR="00065477" w:rsidRPr="00B65C2C">
        <w:rPr>
          <w:color w:val="000000"/>
          <w:sz w:val="22"/>
          <w:szCs w:val="22"/>
          <w:lang w:val="en-GB"/>
        </w:rPr>
        <w:t xml:space="preserve">cheapest </w:t>
      </w:r>
      <w:r w:rsidRPr="00B65C2C">
        <w:rPr>
          <w:color w:val="000000"/>
          <w:sz w:val="22"/>
          <w:szCs w:val="22"/>
          <w:lang w:val="en-GB"/>
        </w:rPr>
        <w:t>compliant tender.</w:t>
      </w:r>
    </w:p>
    <w:p w14:paraId="22DB6E45"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Information meeting and/or site visit</w:t>
      </w:r>
    </w:p>
    <w:p w14:paraId="572216F2" w14:textId="3AA42908" w:rsidR="00E23824" w:rsidRPr="002116E1" w:rsidRDefault="00E23824" w:rsidP="00AF3DC9">
      <w:pPr>
        <w:pStyle w:val="Blockquote"/>
        <w:ind w:left="709"/>
        <w:rPr>
          <w:sz w:val="22"/>
          <w:szCs w:val="22"/>
          <w:lang w:val="en-GB"/>
        </w:rPr>
      </w:pPr>
      <w:r w:rsidRPr="00B65C2C">
        <w:rPr>
          <w:sz w:val="22"/>
          <w:szCs w:val="22"/>
          <w:lang w:val="en-GB"/>
        </w:rPr>
        <w:t>No information meeting is planned</w:t>
      </w:r>
    </w:p>
    <w:p w14:paraId="44E04652"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Tender validity</w:t>
      </w:r>
    </w:p>
    <w:p w14:paraId="6AF682F1" w14:textId="77777777" w:rsidR="00E23824" w:rsidRPr="003F1149" w:rsidRDefault="00E23824" w:rsidP="00AC2A69">
      <w:pPr>
        <w:pStyle w:val="Blockquote"/>
        <w:ind w:left="709" w:right="1"/>
        <w:jc w:val="both"/>
        <w:rPr>
          <w:sz w:val="22"/>
          <w:szCs w:val="22"/>
          <w:lang w:val="en-GB"/>
        </w:rPr>
      </w:pPr>
      <w:r w:rsidRPr="003F1149">
        <w:rPr>
          <w:sz w:val="22"/>
          <w:szCs w:val="22"/>
          <w:lang w:val="en-GB"/>
        </w:rPr>
        <w:t>Tenders must remain valid for a period of 90 days after the deadline for submission of tenders.</w:t>
      </w:r>
      <w:r w:rsidR="007A042A">
        <w:rPr>
          <w:sz w:val="22"/>
          <w:szCs w:val="22"/>
          <w:lang w:val="en-GB"/>
        </w:rPr>
        <w:t xml:space="preserve"> </w:t>
      </w:r>
      <w:r w:rsidR="0003151B" w:rsidRPr="00D85D0B">
        <w:rPr>
          <w:sz w:val="22"/>
          <w:szCs w:val="22"/>
          <w:lang w:val="en-GB"/>
        </w:rPr>
        <w:t xml:space="preserve">In exceptional circumstances, the </w:t>
      </w:r>
      <w:r w:rsidR="00A62F09">
        <w:rPr>
          <w:sz w:val="22"/>
          <w:szCs w:val="22"/>
          <w:lang w:val="en-GB"/>
        </w:rPr>
        <w:t>c</w:t>
      </w:r>
      <w:r w:rsidR="0003151B" w:rsidRPr="00D85D0B">
        <w:rPr>
          <w:sz w:val="22"/>
          <w:szCs w:val="22"/>
          <w:lang w:val="en-GB"/>
        </w:rPr>
        <w:t xml:space="preserve">ontracting </w:t>
      </w:r>
      <w:r w:rsidR="00A62F09">
        <w:rPr>
          <w:sz w:val="22"/>
          <w:szCs w:val="22"/>
          <w:lang w:val="en-GB"/>
        </w:rPr>
        <w:t>a</w:t>
      </w:r>
      <w:r w:rsidR="0003151B" w:rsidRPr="00D85D0B">
        <w:rPr>
          <w:sz w:val="22"/>
          <w:szCs w:val="22"/>
          <w:lang w:val="en-GB"/>
        </w:rPr>
        <w:t>uthority may, before the validity period expires, request that tenderers extend the validity of tenders for a specific period</w:t>
      </w:r>
      <w:r w:rsidR="0003151B">
        <w:rPr>
          <w:sz w:val="22"/>
          <w:szCs w:val="22"/>
          <w:lang w:val="en-GB"/>
        </w:rPr>
        <w:t xml:space="preserve"> (see para 8.2 of the instructions </w:t>
      </w:r>
      <w:r w:rsidR="0003151B" w:rsidRPr="003F1149">
        <w:rPr>
          <w:sz w:val="22"/>
          <w:szCs w:val="22"/>
          <w:lang w:val="en-GB"/>
        </w:rPr>
        <w:t>to tenderers</w:t>
      </w:r>
      <w:r w:rsidR="0003151B">
        <w:rPr>
          <w:sz w:val="22"/>
          <w:szCs w:val="22"/>
          <w:lang w:val="en-GB"/>
        </w:rPr>
        <w:t>).</w:t>
      </w:r>
    </w:p>
    <w:p w14:paraId="0E0A3883"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 xml:space="preserve">Period of </w:t>
      </w:r>
      <w:r w:rsidR="00AF46E5" w:rsidRPr="00A336A0">
        <w:rPr>
          <w:rStyle w:val="Strong"/>
          <w:szCs w:val="24"/>
          <w:lang w:val="en-GB"/>
        </w:rPr>
        <w:t xml:space="preserve">implementation </w:t>
      </w:r>
      <w:r w:rsidR="00065477">
        <w:rPr>
          <w:rStyle w:val="Strong"/>
          <w:szCs w:val="24"/>
          <w:lang w:val="en-GB"/>
        </w:rPr>
        <w:t>of tasks</w:t>
      </w:r>
    </w:p>
    <w:p w14:paraId="395061F4" w14:textId="73E70104" w:rsidR="00FB6BDC" w:rsidRDefault="00843B67" w:rsidP="00FB6BDC">
      <w:pPr>
        <w:pStyle w:val="Blockquote"/>
        <w:ind w:left="709" w:right="1"/>
        <w:jc w:val="both"/>
        <w:rPr>
          <w:sz w:val="22"/>
          <w:szCs w:val="22"/>
          <w:lang w:val="en-GB"/>
        </w:rPr>
      </w:pPr>
      <w:r w:rsidRPr="00467561">
        <w:rPr>
          <w:snapToGrid/>
          <w:sz w:val="22"/>
          <w:szCs w:val="22"/>
          <w:lang w:val="en-GB" w:eastAsia="en-GB"/>
        </w:rPr>
        <w:t xml:space="preserve">The period of implementation of tasks, equal to the supply, delivery, unloading, installation, putting into operation, testing and training of equipment, starting from the commencement date of the contract and ending on the date of issuance of the Provisional Acceptance certificate shall be </w:t>
      </w:r>
      <w:r w:rsidRPr="00467561">
        <w:rPr>
          <w:b/>
          <w:snapToGrid/>
          <w:sz w:val="22"/>
          <w:szCs w:val="22"/>
          <w:lang w:val="en-GB" w:eastAsia="en-GB"/>
        </w:rPr>
        <w:t xml:space="preserve">120 </w:t>
      </w:r>
      <w:r w:rsidRPr="00467561">
        <w:rPr>
          <w:b/>
          <w:sz w:val="22"/>
          <w:lang w:val="en-GB"/>
        </w:rPr>
        <w:t>calendar days</w:t>
      </w:r>
      <w:r w:rsidRPr="00467561">
        <w:rPr>
          <w:sz w:val="22"/>
          <w:szCs w:val="22"/>
          <w:lang w:val="en-GB"/>
        </w:rPr>
        <w:t xml:space="preserve"> for </w:t>
      </w:r>
      <w:r>
        <w:rPr>
          <w:sz w:val="22"/>
          <w:szCs w:val="22"/>
          <w:lang w:val="en-GB"/>
        </w:rPr>
        <w:t>this supply</w:t>
      </w:r>
      <w:r w:rsidRPr="00467561">
        <w:rPr>
          <w:sz w:val="22"/>
          <w:szCs w:val="22"/>
          <w:lang w:val="en-GB"/>
        </w:rPr>
        <w:t xml:space="preserve">, including a delivery period of </w:t>
      </w:r>
      <w:r w:rsidRPr="00467561">
        <w:rPr>
          <w:b/>
          <w:sz w:val="22"/>
          <w:szCs w:val="22"/>
          <w:lang w:val="en-GB"/>
        </w:rPr>
        <w:t>60 calendar days</w:t>
      </w:r>
      <w:r w:rsidR="00FB6BDC">
        <w:rPr>
          <w:sz w:val="22"/>
          <w:szCs w:val="22"/>
          <w:lang w:val="en-GB"/>
        </w:rPr>
        <w:t>.</w:t>
      </w:r>
    </w:p>
    <w:p w14:paraId="1C0F33BF" w14:textId="634DC376" w:rsidR="00E23824" w:rsidRPr="003F1149" w:rsidRDefault="00C81650">
      <w:pPr>
        <w:rPr>
          <w:lang w:val="en-GB"/>
        </w:rPr>
      </w:pPr>
      <w:r>
        <w:rPr>
          <w:noProof/>
          <w:snapToGrid/>
          <w:lang w:val="mk-MK" w:eastAsia="mk-MK"/>
        </w:rPr>
        <mc:AlternateContent>
          <mc:Choice Requires="wps">
            <w:drawing>
              <wp:anchor distT="0" distB="0" distL="114300" distR="114300" simplePos="0" relativeHeight="251655680" behindDoc="0" locked="0" layoutInCell="0" allowOverlap="1" wp14:anchorId="4E8FEDFF" wp14:editId="02AA3D90">
                <wp:simplePos x="0" y="0"/>
                <wp:positionH relativeFrom="column">
                  <wp:posOffset>0</wp:posOffset>
                </wp:positionH>
                <wp:positionV relativeFrom="paragraph">
                  <wp:posOffset>259715</wp:posOffset>
                </wp:positionV>
                <wp:extent cx="594360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03DDC"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" o:allowincell="f" strokecolor="#d4d4d4" strokeweight="1.75pt">
                <v:shadow on="t" offset="0,-1pt"/>
              </v:line>
            </w:pict>
          </mc:Fallback>
        </mc:AlternateContent>
      </w:r>
    </w:p>
    <w:p w14:paraId="5444FE02" w14:textId="77777777" w:rsidR="00E078B6" w:rsidRDefault="00E078B6">
      <w:pPr>
        <w:ind w:left="360"/>
        <w:jc w:val="center"/>
        <w:rPr>
          <w:rStyle w:val="Strong"/>
          <w:sz w:val="28"/>
          <w:szCs w:val="28"/>
          <w:lang w:val="en-GB"/>
        </w:rPr>
      </w:pPr>
    </w:p>
    <w:p w14:paraId="0E40E99A" w14:textId="77777777" w:rsidR="00E23824" w:rsidRPr="003F1149" w:rsidRDefault="00E23824">
      <w:pPr>
        <w:ind w:left="360"/>
        <w:jc w:val="center"/>
        <w:rPr>
          <w:rStyle w:val="Strong"/>
          <w:sz w:val="28"/>
          <w:szCs w:val="28"/>
          <w:lang w:val="en-GB"/>
        </w:rPr>
      </w:pPr>
      <w:r w:rsidRPr="003F1149">
        <w:rPr>
          <w:rStyle w:val="Strong"/>
          <w:sz w:val="28"/>
          <w:szCs w:val="28"/>
          <w:lang w:val="en-GB"/>
        </w:rPr>
        <w:t>SELECTION AND AWARD CRITERIA</w:t>
      </w:r>
    </w:p>
    <w:p w14:paraId="6B4E69CC"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Selection criteria</w:t>
      </w:r>
      <w:r w:rsidR="002A5E19" w:rsidRPr="00A336A0">
        <w:rPr>
          <w:rStyle w:val="Strong"/>
          <w:szCs w:val="24"/>
          <w:lang w:val="en-GB"/>
        </w:rPr>
        <w:t xml:space="preserve"> </w:t>
      </w:r>
    </w:p>
    <w:p w14:paraId="6966EF92" w14:textId="77777777" w:rsidR="005B13FB" w:rsidRPr="003F1149" w:rsidRDefault="005B13FB" w:rsidP="00FB6BDC">
      <w:pPr>
        <w:pStyle w:val="Blockquote"/>
        <w:ind w:left="709" w:right="1"/>
        <w:jc w:val="both"/>
        <w:rPr>
          <w:sz w:val="22"/>
          <w:szCs w:val="22"/>
          <w:lang w:val="en-GB"/>
        </w:rPr>
      </w:pPr>
      <w:r w:rsidRPr="003F1149">
        <w:rPr>
          <w:sz w:val="22"/>
          <w:szCs w:val="22"/>
          <w:lang w:val="en-GB"/>
        </w:rPr>
        <w:t>The following selection criteria will be applied to tenderers.</w:t>
      </w:r>
      <w:r w:rsidR="00F274BD">
        <w:rPr>
          <w:sz w:val="22"/>
          <w:szCs w:val="22"/>
          <w:lang w:val="en-GB"/>
        </w:rPr>
        <w:t xml:space="preserve"> </w:t>
      </w:r>
      <w:r w:rsidRPr="003F1149">
        <w:rPr>
          <w:sz w:val="22"/>
          <w:szCs w:val="22"/>
          <w:lang w:val="en-GB"/>
        </w:rPr>
        <w:t>In the case of tenders submitted by a consortium, these selection criteria will be applied to the consortium as a whole</w:t>
      </w:r>
      <w:r w:rsidR="000739E4" w:rsidRPr="000739E4">
        <w:t xml:space="preserve"> </w:t>
      </w:r>
      <w:r w:rsidR="008D6E19">
        <w:t>unless</w:t>
      </w:r>
      <w:r w:rsidR="000739E4" w:rsidRPr="000739E4">
        <w:rPr>
          <w:sz w:val="22"/>
          <w:szCs w:val="22"/>
          <w:lang w:val="en-GB"/>
        </w:rPr>
        <w:t xml:space="preserve"> specified otherwise</w:t>
      </w:r>
      <w:r w:rsidR="008A3391">
        <w:rPr>
          <w:sz w:val="22"/>
          <w:szCs w:val="22"/>
          <w:lang w:val="en-GB"/>
        </w:rPr>
        <w:t>. The selection criteria will not be applied to natural persons and single-member companies when they are sub-contractors</w:t>
      </w:r>
      <w:r w:rsidRPr="003F1149">
        <w:rPr>
          <w:sz w:val="22"/>
          <w:szCs w:val="22"/>
          <w:lang w:val="en-GB"/>
        </w:rPr>
        <w:t>:</w:t>
      </w:r>
    </w:p>
    <w:p w14:paraId="2D01A27C" w14:textId="77777777" w:rsidR="00D4238C" w:rsidRPr="00D225CC" w:rsidRDefault="0088725C" w:rsidP="00D4238C">
      <w:pPr>
        <w:pStyle w:val="Blockquote"/>
        <w:ind w:left="1134" w:right="357" w:hanging="284"/>
        <w:jc w:val="both"/>
        <w:rPr>
          <w:sz w:val="22"/>
          <w:szCs w:val="22"/>
          <w:lang w:val="en-GB"/>
        </w:rPr>
      </w:pPr>
      <w:r>
        <w:rPr>
          <w:sz w:val="22"/>
          <w:szCs w:val="22"/>
          <w:lang w:val="en-GB"/>
        </w:rPr>
        <w:lastRenderedPageBreak/>
        <w:t>1)</w:t>
      </w:r>
      <w:r>
        <w:rPr>
          <w:sz w:val="22"/>
          <w:szCs w:val="22"/>
          <w:lang w:val="en-GB"/>
        </w:rPr>
        <w:tab/>
      </w:r>
      <w:r w:rsidR="005B13FB" w:rsidRPr="00EA36E6">
        <w:rPr>
          <w:sz w:val="22"/>
          <w:szCs w:val="22"/>
          <w:lang w:val="en-GB"/>
        </w:rPr>
        <w:t xml:space="preserve">Economic and financial </w:t>
      </w:r>
      <w:r w:rsidR="00EA5A37" w:rsidRPr="00EA36E6">
        <w:rPr>
          <w:sz w:val="22"/>
          <w:szCs w:val="22"/>
          <w:lang w:val="en-GB"/>
        </w:rPr>
        <w:t>capacity</w:t>
      </w:r>
      <w:r w:rsidR="005B13FB" w:rsidRPr="00EA36E6">
        <w:rPr>
          <w:sz w:val="22"/>
          <w:szCs w:val="22"/>
          <w:lang w:val="en-GB"/>
        </w:rPr>
        <w:t xml:space="preserve"> of </w:t>
      </w:r>
      <w:r w:rsidR="00EA5A37" w:rsidRPr="00EA36E6">
        <w:rPr>
          <w:sz w:val="22"/>
          <w:szCs w:val="22"/>
          <w:lang w:val="en-GB"/>
        </w:rPr>
        <w:t>tenderer</w:t>
      </w:r>
      <w:r w:rsidR="005B13FB" w:rsidRPr="00EA36E6">
        <w:rPr>
          <w:i/>
          <w:sz w:val="22"/>
          <w:szCs w:val="22"/>
          <w:lang w:val="en-GB"/>
        </w:rPr>
        <w:t xml:space="preserve"> </w:t>
      </w:r>
      <w:r w:rsidR="00021ECF" w:rsidRPr="00AC2A69">
        <w:rPr>
          <w:sz w:val="22"/>
          <w:szCs w:val="22"/>
          <w:lang w:val="en-GB"/>
        </w:rPr>
        <w:t>(</w:t>
      </w:r>
      <w:r w:rsidR="005B13FB" w:rsidRPr="00021ECF">
        <w:rPr>
          <w:sz w:val="22"/>
          <w:szCs w:val="22"/>
          <w:lang w:val="en-GB"/>
        </w:rPr>
        <w:t xml:space="preserve">based on </w:t>
      </w:r>
      <w:proofErr w:type="spellStart"/>
      <w:r w:rsidR="00A77260" w:rsidRPr="00021ECF">
        <w:rPr>
          <w:sz w:val="22"/>
          <w:szCs w:val="22"/>
          <w:lang w:val="en-GB"/>
        </w:rPr>
        <w:t>i.a.</w:t>
      </w:r>
      <w:proofErr w:type="spellEnd"/>
      <w:r w:rsidR="00286429" w:rsidRPr="00021ECF">
        <w:rPr>
          <w:sz w:val="22"/>
          <w:szCs w:val="22"/>
          <w:lang w:val="en-GB"/>
        </w:rPr>
        <w:t xml:space="preserve"> </w:t>
      </w:r>
      <w:r w:rsidR="005B13FB" w:rsidRPr="00021ECF">
        <w:rPr>
          <w:sz w:val="22"/>
          <w:szCs w:val="22"/>
          <w:lang w:val="en-GB"/>
        </w:rPr>
        <w:t xml:space="preserve">item 3 of the </w:t>
      </w:r>
      <w:r w:rsidR="00A62F09">
        <w:rPr>
          <w:sz w:val="22"/>
          <w:szCs w:val="22"/>
          <w:lang w:val="en-GB"/>
        </w:rPr>
        <w:t>t</w:t>
      </w:r>
      <w:r w:rsidR="00A77260" w:rsidRPr="00021ECF">
        <w:rPr>
          <w:sz w:val="22"/>
          <w:szCs w:val="22"/>
          <w:lang w:val="en-GB"/>
        </w:rPr>
        <w:t xml:space="preserve">ender </w:t>
      </w:r>
      <w:r w:rsidR="00A62F09">
        <w:rPr>
          <w:sz w:val="22"/>
          <w:szCs w:val="22"/>
          <w:lang w:val="en-GB"/>
        </w:rPr>
        <w:t>f</w:t>
      </w:r>
      <w:r w:rsidR="00A77260" w:rsidRPr="00021ECF">
        <w:rPr>
          <w:sz w:val="22"/>
          <w:szCs w:val="22"/>
          <w:lang w:val="en-GB"/>
        </w:rPr>
        <w:t xml:space="preserve">orm for a </w:t>
      </w:r>
      <w:r w:rsidR="00A62F09">
        <w:rPr>
          <w:sz w:val="22"/>
          <w:szCs w:val="22"/>
          <w:lang w:val="en-GB"/>
        </w:rPr>
        <w:t>s</w:t>
      </w:r>
      <w:r w:rsidR="00A77260" w:rsidRPr="00021ECF">
        <w:rPr>
          <w:sz w:val="22"/>
          <w:szCs w:val="22"/>
          <w:lang w:val="en-GB"/>
        </w:rPr>
        <w:t xml:space="preserve">upply </w:t>
      </w:r>
      <w:r w:rsidR="00A62F09">
        <w:rPr>
          <w:sz w:val="22"/>
          <w:szCs w:val="22"/>
          <w:lang w:val="en-GB"/>
        </w:rPr>
        <w:t>c</w:t>
      </w:r>
      <w:r w:rsidR="00A77260" w:rsidRPr="00021ECF">
        <w:rPr>
          <w:sz w:val="22"/>
          <w:szCs w:val="22"/>
          <w:lang w:val="en-GB"/>
        </w:rPr>
        <w:t>ontra</w:t>
      </w:r>
      <w:r w:rsidR="00A77260" w:rsidRPr="00A61045">
        <w:rPr>
          <w:sz w:val="22"/>
          <w:szCs w:val="22"/>
          <w:lang w:val="en-GB"/>
        </w:rPr>
        <w:t>ct</w:t>
      </w:r>
      <w:r w:rsidR="00021ECF" w:rsidRPr="00A61045">
        <w:rPr>
          <w:sz w:val="22"/>
          <w:szCs w:val="22"/>
          <w:lang w:val="en-GB"/>
        </w:rPr>
        <w:t>)</w:t>
      </w:r>
      <w:r w:rsidR="003479A1" w:rsidRPr="00A61045">
        <w:rPr>
          <w:sz w:val="22"/>
          <w:szCs w:val="22"/>
          <w:lang w:val="en-GB"/>
        </w:rPr>
        <w:t xml:space="preserve">. In case of </w:t>
      </w:r>
      <w:r w:rsidR="005067DE" w:rsidRPr="00A61045">
        <w:rPr>
          <w:sz w:val="22"/>
          <w:szCs w:val="22"/>
          <w:lang w:val="en-GB"/>
        </w:rPr>
        <w:t>tenderer</w:t>
      </w:r>
      <w:r w:rsidR="003479A1" w:rsidRPr="00A61045">
        <w:rPr>
          <w:sz w:val="22"/>
          <w:szCs w:val="22"/>
          <w:lang w:val="en-GB"/>
        </w:rPr>
        <w:t xml:space="preserve"> being a public body, equivalent information should be provided.</w:t>
      </w:r>
      <w:r w:rsidR="00D4238C">
        <w:rPr>
          <w:sz w:val="22"/>
          <w:szCs w:val="22"/>
          <w:lang w:val="en-GB"/>
        </w:rPr>
        <w:t xml:space="preserve"> The reference period which will be taken into account will be the last three </w:t>
      </w:r>
      <w:r w:rsidR="00050593">
        <w:rPr>
          <w:sz w:val="22"/>
          <w:szCs w:val="22"/>
          <w:lang w:val="en-GB"/>
        </w:rPr>
        <w:t xml:space="preserve">financial </w:t>
      </w:r>
      <w:r w:rsidR="00D4238C">
        <w:rPr>
          <w:sz w:val="22"/>
          <w:szCs w:val="22"/>
          <w:lang w:val="en-GB"/>
        </w:rPr>
        <w:t>years for which accounts have been closed.</w:t>
      </w:r>
    </w:p>
    <w:p w14:paraId="621604DC" w14:textId="6D386804" w:rsidR="00DD16D0" w:rsidRDefault="00DD16D0" w:rsidP="00C81650">
      <w:pPr>
        <w:pStyle w:val="Heading4"/>
      </w:pPr>
      <w:r w:rsidRPr="00B65C2C">
        <w:t>The selection criteria for tenderers are as follows:</w:t>
      </w:r>
    </w:p>
    <w:p w14:paraId="01C569BB" w14:textId="224CA417" w:rsidR="00C81650" w:rsidRPr="00F96191" w:rsidRDefault="00C81650" w:rsidP="00C81650">
      <w:pPr>
        <w:pStyle w:val="Heading4"/>
        <w:numPr>
          <w:ilvl w:val="0"/>
          <w:numId w:val="41"/>
        </w:numPr>
      </w:pPr>
      <w:r w:rsidRPr="00467561">
        <w:t>The average annual turnover of the tenderer must be at least</w:t>
      </w:r>
      <w:r>
        <w:t xml:space="preserve"> </w:t>
      </w:r>
      <w:r w:rsidR="006C4834" w:rsidRPr="006C4834">
        <w:t>200 000</w:t>
      </w:r>
      <w:r w:rsidRPr="006C4834">
        <w:t xml:space="preserve"> </w:t>
      </w:r>
      <w:r w:rsidRPr="00F96191">
        <w:t>EUR</w:t>
      </w:r>
      <w:r w:rsidR="002243D8">
        <w:t>,</w:t>
      </w:r>
    </w:p>
    <w:p w14:paraId="1E1F0D12" w14:textId="713FBD33" w:rsidR="00FB6BDC" w:rsidRPr="00FB6BDC" w:rsidRDefault="00F357EE" w:rsidP="00FB6BDC">
      <w:pPr>
        <w:pStyle w:val="ListParagraph"/>
        <w:numPr>
          <w:ilvl w:val="0"/>
          <w:numId w:val="41"/>
        </w:numPr>
        <w:rPr>
          <w:szCs w:val="18"/>
        </w:rPr>
      </w:pPr>
      <w:bookmarkStart w:id="1" w:name="OLE_LINK15"/>
      <w:bookmarkStart w:id="2" w:name="OLE_LINK16"/>
      <w:r w:rsidRPr="00B65C2C">
        <w:rPr>
          <w:sz w:val="22"/>
          <w:szCs w:val="18"/>
        </w:rPr>
        <w:t xml:space="preserve">Current ratio (current assets/current liabilities) in the last year for which accounts have been closed must be at least </w:t>
      </w:r>
      <w:r w:rsidRPr="002F380A">
        <w:rPr>
          <w:sz w:val="22"/>
          <w:szCs w:val="18"/>
        </w:rPr>
        <w:t>1.</w:t>
      </w:r>
      <w:r w:rsidRPr="00B65C2C">
        <w:rPr>
          <w:sz w:val="22"/>
          <w:szCs w:val="18"/>
        </w:rPr>
        <w:t xml:space="preserve"> In case of a consortium this criterion must be fulfilled by each member</w:t>
      </w:r>
      <w:bookmarkEnd w:id="1"/>
      <w:bookmarkEnd w:id="2"/>
      <w:r w:rsidR="002243D8">
        <w:rPr>
          <w:sz w:val="22"/>
          <w:szCs w:val="18"/>
        </w:rPr>
        <w:t>.</w:t>
      </w:r>
    </w:p>
    <w:p w14:paraId="269790EF" w14:textId="4BEE6352" w:rsidR="005B13FB" w:rsidRPr="00021ECF" w:rsidRDefault="0088725C" w:rsidP="00AC2A69">
      <w:pPr>
        <w:pStyle w:val="Blockquote"/>
        <w:ind w:left="1134" w:right="1" w:hanging="284"/>
        <w:jc w:val="both"/>
        <w:rPr>
          <w:sz w:val="22"/>
          <w:szCs w:val="22"/>
          <w:lang w:val="en-GB"/>
        </w:rPr>
      </w:pPr>
      <w:r>
        <w:rPr>
          <w:sz w:val="22"/>
          <w:szCs w:val="22"/>
          <w:lang w:val="en-GB"/>
        </w:rPr>
        <w:t>2)</w:t>
      </w:r>
      <w:r>
        <w:rPr>
          <w:sz w:val="22"/>
          <w:szCs w:val="22"/>
          <w:lang w:val="en-GB"/>
        </w:rPr>
        <w:tab/>
      </w:r>
      <w:r w:rsidR="005B13FB" w:rsidRPr="00EA36E6">
        <w:rPr>
          <w:sz w:val="22"/>
          <w:szCs w:val="22"/>
          <w:lang w:val="en-GB"/>
        </w:rPr>
        <w:t xml:space="preserve">Professional capacity of </w:t>
      </w:r>
      <w:r w:rsidR="00A77260" w:rsidRPr="00EA36E6">
        <w:rPr>
          <w:sz w:val="22"/>
          <w:szCs w:val="22"/>
          <w:lang w:val="en-GB"/>
        </w:rPr>
        <w:t>tenderer</w:t>
      </w:r>
      <w:r w:rsidR="005B13FB" w:rsidRPr="00EA36E6">
        <w:rPr>
          <w:sz w:val="22"/>
          <w:szCs w:val="22"/>
          <w:lang w:val="en-GB"/>
        </w:rPr>
        <w:t xml:space="preserve"> </w:t>
      </w:r>
      <w:r w:rsidR="00021ECF" w:rsidRPr="00021ECF">
        <w:rPr>
          <w:sz w:val="22"/>
          <w:szCs w:val="22"/>
          <w:lang w:val="en-GB"/>
        </w:rPr>
        <w:t>(</w:t>
      </w:r>
      <w:r w:rsidR="005B13FB" w:rsidRPr="00021ECF">
        <w:rPr>
          <w:sz w:val="22"/>
          <w:szCs w:val="22"/>
          <w:lang w:val="en-GB"/>
        </w:rPr>
        <w:t xml:space="preserve">based on </w:t>
      </w:r>
      <w:proofErr w:type="spellStart"/>
      <w:r w:rsidR="00A77260" w:rsidRPr="00021ECF">
        <w:rPr>
          <w:sz w:val="22"/>
          <w:szCs w:val="22"/>
          <w:lang w:val="en-GB"/>
        </w:rPr>
        <w:t>i.a.</w:t>
      </w:r>
      <w:proofErr w:type="spellEnd"/>
      <w:r w:rsidR="00021ECF">
        <w:rPr>
          <w:sz w:val="22"/>
          <w:szCs w:val="22"/>
          <w:lang w:val="en-GB"/>
        </w:rPr>
        <w:t xml:space="preserve"> </w:t>
      </w:r>
      <w:r w:rsidR="005B13FB" w:rsidRPr="00021ECF">
        <w:rPr>
          <w:sz w:val="22"/>
          <w:szCs w:val="22"/>
          <w:lang w:val="en-GB"/>
        </w:rPr>
        <w:t xml:space="preserve">items 4 and 5 of the </w:t>
      </w:r>
      <w:r w:rsidR="00986590">
        <w:rPr>
          <w:sz w:val="22"/>
          <w:szCs w:val="22"/>
          <w:lang w:val="en-GB"/>
        </w:rPr>
        <w:t>t</w:t>
      </w:r>
      <w:r w:rsidR="00A77260" w:rsidRPr="00021ECF">
        <w:rPr>
          <w:sz w:val="22"/>
          <w:szCs w:val="22"/>
          <w:lang w:val="en-GB"/>
        </w:rPr>
        <w:t xml:space="preserve">ender </w:t>
      </w:r>
      <w:r w:rsidR="00986590">
        <w:rPr>
          <w:sz w:val="22"/>
          <w:szCs w:val="22"/>
          <w:lang w:val="en-GB"/>
        </w:rPr>
        <w:t>f</w:t>
      </w:r>
      <w:r w:rsidR="00A77260" w:rsidRPr="00021ECF">
        <w:rPr>
          <w:sz w:val="22"/>
          <w:szCs w:val="22"/>
          <w:lang w:val="en-GB"/>
        </w:rPr>
        <w:t xml:space="preserve">orm for a </w:t>
      </w:r>
      <w:r w:rsidR="00986590">
        <w:rPr>
          <w:sz w:val="22"/>
          <w:szCs w:val="22"/>
          <w:lang w:val="en-GB"/>
        </w:rPr>
        <w:t>s</w:t>
      </w:r>
      <w:r w:rsidR="00A77260" w:rsidRPr="00021ECF">
        <w:rPr>
          <w:sz w:val="22"/>
          <w:szCs w:val="22"/>
          <w:lang w:val="en-GB"/>
        </w:rPr>
        <w:t xml:space="preserve">upply </w:t>
      </w:r>
      <w:r w:rsidR="00986590">
        <w:rPr>
          <w:sz w:val="22"/>
          <w:szCs w:val="22"/>
          <w:lang w:val="en-GB"/>
        </w:rPr>
        <w:t>c</w:t>
      </w:r>
      <w:r w:rsidR="00A77260" w:rsidRPr="00021ECF">
        <w:rPr>
          <w:sz w:val="22"/>
          <w:szCs w:val="22"/>
          <w:lang w:val="en-GB"/>
        </w:rPr>
        <w:t>ontract</w:t>
      </w:r>
      <w:r w:rsidR="00021ECF" w:rsidRPr="00021ECF">
        <w:rPr>
          <w:sz w:val="22"/>
          <w:szCs w:val="22"/>
          <w:lang w:val="en-GB"/>
        </w:rPr>
        <w:t>)</w:t>
      </w:r>
      <w:r w:rsidR="00D4238C">
        <w:rPr>
          <w:sz w:val="22"/>
          <w:szCs w:val="22"/>
          <w:lang w:val="en-GB"/>
        </w:rPr>
        <w:t xml:space="preserve">. The reference period which will be taken into account will be the last </w:t>
      </w:r>
      <w:r w:rsidR="002F380A">
        <w:rPr>
          <w:sz w:val="22"/>
          <w:szCs w:val="22"/>
          <w:lang w:val="en-GB"/>
        </w:rPr>
        <w:t>three</w:t>
      </w:r>
      <w:r w:rsidR="007A7E50" w:rsidRPr="003B06D5">
        <w:rPr>
          <w:sz w:val="22"/>
          <w:szCs w:val="22"/>
          <w:lang w:val="en-GB"/>
        </w:rPr>
        <w:t xml:space="preserve"> years</w:t>
      </w:r>
      <w:r w:rsidR="00197522" w:rsidRPr="003B06D5">
        <w:rPr>
          <w:sz w:val="22"/>
          <w:szCs w:val="22"/>
          <w:lang w:val="en-GB"/>
        </w:rPr>
        <w:t xml:space="preserve"> </w:t>
      </w:r>
      <w:r w:rsidR="00B35CD5">
        <w:rPr>
          <w:sz w:val="22"/>
          <w:szCs w:val="22"/>
          <w:lang w:val="en-GB"/>
        </w:rPr>
        <w:t xml:space="preserve">preceding the </w:t>
      </w:r>
      <w:r w:rsidR="00D4238C">
        <w:rPr>
          <w:sz w:val="22"/>
          <w:szCs w:val="22"/>
          <w:lang w:val="en-GB"/>
        </w:rPr>
        <w:t>submission deadline.</w:t>
      </w:r>
    </w:p>
    <w:p w14:paraId="33C4511D" w14:textId="18D3CF1C" w:rsidR="00973479" w:rsidRDefault="00F357EE" w:rsidP="002F42F3">
      <w:pPr>
        <w:pStyle w:val="ListParagraph"/>
        <w:numPr>
          <w:ilvl w:val="0"/>
          <w:numId w:val="42"/>
        </w:numPr>
        <w:rPr>
          <w:sz w:val="22"/>
          <w:szCs w:val="22"/>
          <w:lang w:val="en-GB"/>
        </w:rPr>
      </w:pPr>
      <w:r w:rsidRPr="00F357EE">
        <w:rPr>
          <w:sz w:val="22"/>
          <w:szCs w:val="22"/>
          <w:lang w:val="en-GB"/>
        </w:rPr>
        <w:t xml:space="preserve">At least 2 permanent staff currently work for the tenderer in the fields related to this </w:t>
      </w:r>
      <w:r w:rsidR="00525078">
        <w:rPr>
          <w:sz w:val="22"/>
          <w:szCs w:val="22"/>
          <w:lang w:val="en-GB"/>
        </w:rPr>
        <w:t>supply</w:t>
      </w:r>
      <w:r w:rsidR="00734D99">
        <w:rPr>
          <w:sz w:val="22"/>
          <w:szCs w:val="22"/>
          <w:lang w:val="en-GB"/>
        </w:rPr>
        <w:t>,</w:t>
      </w:r>
    </w:p>
    <w:p w14:paraId="10BD2A09" w14:textId="3A715EA3" w:rsidR="002F42F3" w:rsidRDefault="002F42F3" w:rsidP="002F42F3">
      <w:pPr>
        <w:pStyle w:val="ListParagraph"/>
        <w:numPr>
          <w:ilvl w:val="0"/>
          <w:numId w:val="42"/>
        </w:numPr>
        <w:jc w:val="both"/>
        <w:rPr>
          <w:sz w:val="22"/>
          <w:szCs w:val="22"/>
          <w:lang w:val="en-GB"/>
        </w:rPr>
      </w:pPr>
      <w:bookmarkStart w:id="3" w:name="_Hlk30769184"/>
      <w:r w:rsidRPr="00E05969">
        <w:rPr>
          <w:sz w:val="22"/>
          <w:szCs w:val="22"/>
          <w:lang w:val="en-GB"/>
        </w:rPr>
        <w:t xml:space="preserve">The tenderer, if he is not the manufacturer of the </w:t>
      </w:r>
      <w:r>
        <w:rPr>
          <w:sz w:val="22"/>
          <w:szCs w:val="22"/>
          <w:lang w:val="en-GB"/>
        </w:rPr>
        <w:t>air quality monitoring equipment</w:t>
      </w:r>
      <w:r w:rsidRPr="00E05969">
        <w:rPr>
          <w:sz w:val="22"/>
          <w:szCs w:val="22"/>
          <w:lang w:val="en-GB"/>
        </w:rPr>
        <w:t xml:space="preserve">, must possess valid authorization(s) from the manufacturer(s) </w:t>
      </w:r>
      <w:r w:rsidRPr="00E05969">
        <w:rPr>
          <w:sz w:val="22"/>
          <w:szCs w:val="22"/>
          <w:lang w:val="mk-MK"/>
        </w:rPr>
        <w:t>(</w:t>
      </w:r>
      <w:r w:rsidRPr="00E05969">
        <w:rPr>
          <w:sz w:val="22"/>
          <w:szCs w:val="22"/>
        </w:rPr>
        <w:t xml:space="preserve">provided directly or indirectly) </w:t>
      </w:r>
      <w:r w:rsidRPr="00E05969">
        <w:rPr>
          <w:sz w:val="22"/>
          <w:szCs w:val="22"/>
          <w:lang w:val="en-GB"/>
        </w:rPr>
        <w:t xml:space="preserve">for delivery and maintenance under warranty of the supplied </w:t>
      </w:r>
      <w:r>
        <w:rPr>
          <w:sz w:val="22"/>
          <w:szCs w:val="22"/>
          <w:lang w:val="en-GB"/>
        </w:rPr>
        <w:t>air quality monitoring equipment</w:t>
      </w:r>
      <w:r w:rsidR="000870D4">
        <w:rPr>
          <w:sz w:val="22"/>
          <w:szCs w:val="22"/>
          <w:lang w:val="en-GB"/>
        </w:rPr>
        <w:t>.</w:t>
      </w:r>
    </w:p>
    <w:bookmarkEnd w:id="3"/>
    <w:p w14:paraId="2180CFE0" w14:textId="77777777" w:rsidR="002F42F3" w:rsidRDefault="002F42F3" w:rsidP="002F380A">
      <w:pPr>
        <w:pStyle w:val="ListParagraph"/>
        <w:ind w:left="1440"/>
        <w:rPr>
          <w:sz w:val="22"/>
          <w:szCs w:val="22"/>
          <w:lang w:val="en-GB"/>
        </w:rPr>
      </w:pPr>
    </w:p>
    <w:p w14:paraId="4E20FF75" w14:textId="06DD924D" w:rsidR="005B13FB" w:rsidRDefault="0088725C" w:rsidP="00AC2A69">
      <w:pPr>
        <w:pStyle w:val="Blockquote"/>
        <w:ind w:left="1134" w:right="1" w:hanging="284"/>
        <w:jc w:val="both"/>
        <w:rPr>
          <w:sz w:val="22"/>
          <w:szCs w:val="22"/>
          <w:lang w:val="en-GB"/>
        </w:rPr>
      </w:pPr>
      <w:r>
        <w:rPr>
          <w:sz w:val="22"/>
          <w:szCs w:val="22"/>
          <w:lang w:val="en-GB"/>
        </w:rPr>
        <w:t>3)</w:t>
      </w:r>
      <w:r>
        <w:rPr>
          <w:sz w:val="22"/>
          <w:szCs w:val="22"/>
          <w:lang w:val="en-GB"/>
        </w:rPr>
        <w:tab/>
      </w:r>
      <w:r w:rsidR="005B13FB" w:rsidRPr="00EA36E6">
        <w:rPr>
          <w:sz w:val="22"/>
          <w:szCs w:val="22"/>
          <w:lang w:val="en-GB"/>
        </w:rPr>
        <w:t xml:space="preserve">Technical capacity of </w:t>
      </w:r>
      <w:r w:rsidR="00FF0FFC" w:rsidRPr="00EA36E6">
        <w:rPr>
          <w:sz w:val="22"/>
          <w:szCs w:val="22"/>
          <w:lang w:val="en-GB"/>
        </w:rPr>
        <w:t>tenderer</w:t>
      </w:r>
      <w:r w:rsidR="005B13FB" w:rsidRPr="00EA36E6">
        <w:rPr>
          <w:sz w:val="22"/>
          <w:szCs w:val="22"/>
          <w:lang w:val="en-GB"/>
        </w:rPr>
        <w:t xml:space="preserve"> </w:t>
      </w:r>
      <w:r w:rsidR="00021ECF">
        <w:rPr>
          <w:i/>
          <w:sz w:val="22"/>
          <w:szCs w:val="22"/>
          <w:lang w:val="en-GB"/>
        </w:rPr>
        <w:t>(</w:t>
      </w:r>
      <w:r w:rsidR="005B13FB" w:rsidRPr="00021ECF">
        <w:rPr>
          <w:sz w:val="22"/>
          <w:szCs w:val="22"/>
          <w:lang w:val="en-GB"/>
        </w:rPr>
        <w:t xml:space="preserve">based on </w:t>
      </w:r>
      <w:proofErr w:type="spellStart"/>
      <w:r w:rsidR="00FF0FFC" w:rsidRPr="00021ECF">
        <w:rPr>
          <w:sz w:val="22"/>
          <w:szCs w:val="22"/>
          <w:lang w:val="en-GB"/>
        </w:rPr>
        <w:t>i.a.</w:t>
      </w:r>
      <w:proofErr w:type="spellEnd"/>
      <w:r w:rsidR="00FF0FFC" w:rsidRPr="00021ECF">
        <w:rPr>
          <w:sz w:val="22"/>
          <w:szCs w:val="22"/>
          <w:lang w:val="en-GB"/>
        </w:rPr>
        <w:t xml:space="preserve"> </w:t>
      </w:r>
      <w:r w:rsidR="005B13FB" w:rsidRPr="00021ECF">
        <w:rPr>
          <w:sz w:val="22"/>
          <w:szCs w:val="22"/>
          <w:lang w:val="en-GB"/>
        </w:rPr>
        <w:t xml:space="preserve">items 5 and 6 of the </w:t>
      </w:r>
      <w:r w:rsidR="00986590">
        <w:rPr>
          <w:sz w:val="22"/>
          <w:szCs w:val="22"/>
          <w:lang w:val="en-GB"/>
        </w:rPr>
        <w:t>t</w:t>
      </w:r>
      <w:r w:rsidR="00FF0FFC" w:rsidRPr="00021ECF">
        <w:rPr>
          <w:sz w:val="22"/>
          <w:szCs w:val="22"/>
          <w:lang w:val="en-GB"/>
        </w:rPr>
        <w:t xml:space="preserve">ender </w:t>
      </w:r>
      <w:r w:rsidR="00986590">
        <w:rPr>
          <w:sz w:val="22"/>
          <w:szCs w:val="22"/>
          <w:lang w:val="en-GB"/>
        </w:rPr>
        <w:t>f</w:t>
      </w:r>
      <w:r w:rsidR="00FF0FFC" w:rsidRPr="00021ECF">
        <w:rPr>
          <w:sz w:val="22"/>
          <w:szCs w:val="22"/>
          <w:lang w:val="en-GB"/>
        </w:rPr>
        <w:t xml:space="preserve">orm for a </w:t>
      </w:r>
      <w:r w:rsidR="00986590">
        <w:rPr>
          <w:sz w:val="22"/>
          <w:szCs w:val="22"/>
          <w:lang w:val="en-GB"/>
        </w:rPr>
        <w:t>s</w:t>
      </w:r>
      <w:r w:rsidR="00FF0FFC" w:rsidRPr="00021ECF">
        <w:rPr>
          <w:sz w:val="22"/>
          <w:szCs w:val="22"/>
          <w:lang w:val="en-GB"/>
        </w:rPr>
        <w:t xml:space="preserve">upply </w:t>
      </w:r>
      <w:r w:rsidR="00986590">
        <w:rPr>
          <w:sz w:val="22"/>
          <w:szCs w:val="22"/>
          <w:lang w:val="en-GB"/>
        </w:rPr>
        <w:t>c</w:t>
      </w:r>
      <w:r w:rsidR="00FF0FFC" w:rsidRPr="00021ECF">
        <w:rPr>
          <w:sz w:val="22"/>
          <w:szCs w:val="22"/>
          <w:lang w:val="en-GB"/>
        </w:rPr>
        <w:t>ontract</w:t>
      </w:r>
      <w:r w:rsidR="00021ECF">
        <w:rPr>
          <w:sz w:val="22"/>
          <w:szCs w:val="22"/>
          <w:lang w:val="en-GB"/>
        </w:rPr>
        <w:t>)</w:t>
      </w:r>
      <w:r w:rsidR="00D4238C">
        <w:rPr>
          <w:sz w:val="22"/>
          <w:szCs w:val="22"/>
          <w:lang w:val="en-GB"/>
        </w:rPr>
        <w:t xml:space="preserve">. The reference period which will be taken into account will be the last </w:t>
      </w:r>
      <w:r w:rsidR="002F380A">
        <w:rPr>
          <w:sz w:val="22"/>
          <w:szCs w:val="22"/>
          <w:lang w:val="en-GB"/>
        </w:rPr>
        <w:t>five</w:t>
      </w:r>
      <w:r w:rsidR="00F357EE">
        <w:rPr>
          <w:sz w:val="22"/>
          <w:szCs w:val="22"/>
          <w:lang w:val="en-GB"/>
        </w:rPr>
        <w:t xml:space="preserve"> </w:t>
      </w:r>
      <w:r w:rsidR="00B441CA" w:rsidRPr="00B65C2C">
        <w:rPr>
          <w:sz w:val="22"/>
          <w:szCs w:val="22"/>
          <w:lang w:val="en-GB"/>
        </w:rPr>
        <w:t>years</w:t>
      </w:r>
      <w:r w:rsidR="00067B8A">
        <w:rPr>
          <w:sz w:val="22"/>
          <w:szCs w:val="22"/>
          <w:lang w:val="en-GB"/>
        </w:rPr>
        <w:t xml:space="preserve"> preceding the</w:t>
      </w:r>
      <w:r w:rsidR="00D4238C">
        <w:rPr>
          <w:sz w:val="22"/>
          <w:szCs w:val="22"/>
          <w:lang w:val="en-GB"/>
        </w:rPr>
        <w:t xml:space="preserve"> submission deadline.</w:t>
      </w:r>
    </w:p>
    <w:p w14:paraId="700E0DC8" w14:textId="602B6388" w:rsidR="00F357EE" w:rsidRPr="00021ECF" w:rsidRDefault="00F357EE" w:rsidP="000870D4">
      <w:pPr>
        <w:pStyle w:val="Blockquote"/>
        <w:ind w:left="1418" w:right="1" w:hanging="284"/>
        <w:jc w:val="both"/>
        <w:rPr>
          <w:sz w:val="22"/>
          <w:szCs w:val="22"/>
          <w:lang w:val="en-GB"/>
        </w:rPr>
      </w:pPr>
      <w:r>
        <w:rPr>
          <w:sz w:val="22"/>
          <w:szCs w:val="22"/>
          <w:lang w:val="en-GB"/>
        </w:rPr>
        <w:t xml:space="preserve">     </w:t>
      </w:r>
      <w:r w:rsidR="002F380A">
        <w:rPr>
          <w:sz w:val="22"/>
          <w:szCs w:val="22"/>
          <w:lang w:val="en-GB"/>
        </w:rPr>
        <w:t xml:space="preserve">a) </w:t>
      </w:r>
      <w:r w:rsidRPr="00467561">
        <w:rPr>
          <w:sz w:val="22"/>
          <w:szCs w:val="22"/>
          <w:lang w:val="en-GB"/>
        </w:rPr>
        <w:t>The tenderer has delivere</w:t>
      </w:r>
      <w:r w:rsidR="00120724">
        <w:rPr>
          <w:sz w:val="22"/>
          <w:szCs w:val="22"/>
          <w:lang w:val="en-GB"/>
        </w:rPr>
        <w:t>d supplies under at least two (2</w:t>
      </w:r>
      <w:r w:rsidRPr="00467561">
        <w:rPr>
          <w:sz w:val="22"/>
          <w:szCs w:val="22"/>
          <w:lang w:val="en-GB"/>
        </w:rPr>
        <w:t xml:space="preserve">) </w:t>
      </w:r>
      <w:r w:rsidR="00592787">
        <w:rPr>
          <w:sz w:val="22"/>
          <w:szCs w:val="22"/>
          <w:lang w:val="en-GB"/>
        </w:rPr>
        <w:t xml:space="preserve">individual </w:t>
      </w:r>
      <w:r w:rsidRPr="00467561">
        <w:rPr>
          <w:sz w:val="22"/>
          <w:szCs w:val="22"/>
          <w:lang w:val="en-GB"/>
        </w:rPr>
        <w:t>contract</w:t>
      </w:r>
      <w:r w:rsidR="00120724">
        <w:rPr>
          <w:sz w:val="22"/>
          <w:szCs w:val="22"/>
          <w:lang w:val="en-GB"/>
        </w:rPr>
        <w:t>s</w:t>
      </w:r>
      <w:r w:rsidR="002F42F3">
        <w:rPr>
          <w:sz w:val="22"/>
          <w:szCs w:val="22"/>
          <w:lang w:val="en-GB"/>
        </w:rPr>
        <w:t xml:space="preserve"> </w:t>
      </w:r>
      <w:r w:rsidR="00592787">
        <w:rPr>
          <w:sz w:val="22"/>
          <w:szCs w:val="22"/>
          <w:lang w:val="en-GB"/>
        </w:rPr>
        <w:t xml:space="preserve">each </w:t>
      </w:r>
      <w:r w:rsidR="00592787" w:rsidRPr="00467561">
        <w:rPr>
          <w:sz w:val="22"/>
          <w:szCs w:val="22"/>
          <w:lang w:val="en-GB"/>
        </w:rPr>
        <w:t>with the tenderer's proportion of the budget of at least</w:t>
      </w:r>
      <w:r w:rsidR="00592787">
        <w:rPr>
          <w:sz w:val="22"/>
          <w:szCs w:val="22"/>
          <w:lang w:val="en-GB"/>
        </w:rPr>
        <w:t xml:space="preserve"> 125 000 EUR</w:t>
      </w:r>
      <w:r w:rsidR="00592787" w:rsidRPr="00467561">
        <w:rPr>
          <w:sz w:val="22"/>
          <w:szCs w:val="22"/>
          <w:lang w:val="en-GB"/>
        </w:rPr>
        <w:t xml:space="preserve"> </w:t>
      </w:r>
      <w:r w:rsidRPr="00467561">
        <w:rPr>
          <w:sz w:val="22"/>
          <w:szCs w:val="22"/>
          <w:lang w:val="en-GB"/>
        </w:rPr>
        <w:t xml:space="preserve">in the fields related to </w:t>
      </w:r>
      <w:r w:rsidR="00592787">
        <w:rPr>
          <w:sz w:val="22"/>
          <w:szCs w:val="22"/>
          <w:lang w:val="en-GB"/>
        </w:rPr>
        <w:t>this Lot (</w:t>
      </w:r>
      <w:r w:rsidR="00592787" w:rsidRPr="002F42F3">
        <w:rPr>
          <w:sz w:val="22"/>
          <w:szCs w:val="22"/>
        </w:rPr>
        <w:t xml:space="preserve">Supply of Air Quality </w:t>
      </w:r>
      <w:r w:rsidR="00CE0F91">
        <w:rPr>
          <w:sz w:val="22"/>
          <w:szCs w:val="22"/>
        </w:rPr>
        <w:t xml:space="preserve">Monitoring </w:t>
      </w:r>
      <w:r w:rsidR="00592787" w:rsidRPr="002F42F3">
        <w:rPr>
          <w:sz w:val="22"/>
          <w:szCs w:val="22"/>
        </w:rPr>
        <w:t>Equipment</w:t>
      </w:r>
      <w:r w:rsidR="00592787" w:rsidRPr="002F42F3">
        <w:rPr>
          <w:sz w:val="22"/>
          <w:szCs w:val="22"/>
          <w:lang w:val="en-GB"/>
        </w:rPr>
        <w:t>)</w:t>
      </w:r>
      <w:r w:rsidRPr="00467561">
        <w:rPr>
          <w:sz w:val="22"/>
          <w:szCs w:val="22"/>
          <w:lang w:val="en-GB"/>
        </w:rPr>
        <w:t xml:space="preserve"> which was implemented within the 5 (five) year period prior to the closing date of submission of tenders (as indicated in point 19)</w:t>
      </w:r>
      <w:r w:rsidR="0036553E">
        <w:rPr>
          <w:sz w:val="22"/>
          <w:szCs w:val="22"/>
          <w:lang w:val="en-GB"/>
        </w:rPr>
        <w:t>.</w:t>
      </w:r>
    </w:p>
    <w:p w14:paraId="5A53D797" w14:textId="68EA6320" w:rsidR="00973479" w:rsidRDefault="009176B7" w:rsidP="00AC2A69">
      <w:pPr>
        <w:pStyle w:val="Blockquote"/>
        <w:ind w:left="1134" w:right="1"/>
        <w:jc w:val="both"/>
        <w:rPr>
          <w:sz w:val="22"/>
          <w:szCs w:val="22"/>
        </w:rPr>
      </w:pPr>
      <w:r w:rsidRPr="0064675B">
        <w:rPr>
          <w:sz w:val="22"/>
          <w:szCs w:val="22"/>
          <w:lang w:val="en-GB"/>
        </w:rPr>
        <w:t xml:space="preserve">This means that the </w:t>
      </w:r>
      <w:r w:rsidR="00D27C2B" w:rsidRPr="0099467D">
        <w:rPr>
          <w:sz w:val="22"/>
          <w:szCs w:val="22"/>
          <w:lang w:val="en-GB"/>
        </w:rPr>
        <w:t>contract</w:t>
      </w:r>
      <w:r w:rsidRPr="0099467D">
        <w:rPr>
          <w:sz w:val="22"/>
          <w:szCs w:val="22"/>
          <w:lang w:val="en-GB"/>
        </w:rPr>
        <w:t xml:space="preserve"> the tenderer refers to could have been started</w:t>
      </w:r>
      <w:r w:rsidR="007028AF" w:rsidRPr="0099467D">
        <w:rPr>
          <w:sz w:val="22"/>
          <w:szCs w:val="22"/>
          <w:lang w:val="en-GB"/>
        </w:rPr>
        <w:t xml:space="preserve"> or </w:t>
      </w:r>
      <w:r w:rsidRPr="0099467D">
        <w:rPr>
          <w:sz w:val="22"/>
          <w:szCs w:val="22"/>
          <w:lang w:val="en-GB"/>
        </w:rPr>
        <w:t>completed at any time during the indicated period but it does not necessarily have to b</w:t>
      </w:r>
      <w:r w:rsidRPr="004D5215">
        <w:rPr>
          <w:sz w:val="22"/>
          <w:szCs w:val="22"/>
          <w:lang w:val="en-GB"/>
        </w:rPr>
        <w:t>e started and completed during that period, nor implemented during the entire period.</w:t>
      </w:r>
      <w:r w:rsidR="00FE54CE" w:rsidRPr="00AC2A69">
        <w:rPr>
          <w:sz w:val="22"/>
          <w:szCs w:val="22"/>
        </w:rPr>
        <w:t xml:space="preserve"> </w:t>
      </w:r>
      <w:r w:rsidR="00FE737F" w:rsidRPr="00AC2A69">
        <w:rPr>
          <w:sz w:val="22"/>
          <w:szCs w:val="22"/>
        </w:rPr>
        <w:t>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1EADC519" w14:textId="77777777" w:rsidR="00A90F89" w:rsidRPr="0064675B" w:rsidRDefault="00A90F89" w:rsidP="00AC2A69">
      <w:pPr>
        <w:pStyle w:val="Blockquote"/>
        <w:keepLines/>
        <w:ind w:left="1134" w:right="1"/>
        <w:jc w:val="both"/>
        <w:rPr>
          <w:sz w:val="22"/>
          <w:szCs w:val="22"/>
          <w:lang w:val="en-GB"/>
        </w:rPr>
      </w:pPr>
      <w:r w:rsidRPr="00AC2A69">
        <w:rPr>
          <w:sz w:val="22"/>
          <w:szCs w:val="22"/>
        </w:rPr>
        <w:t>Capacity-providing entities</w:t>
      </w:r>
      <w:r w:rsidRPr="0064675B">
        <w:rPr>
          <w:sz w:val="22"/>
          <w:szCs w:val="22"/>
          <w:lang w:val="en-GB"/>
        </w:rPr>
        <w:t xml:space="preserve"> </w:t>
      </w:r>
    </w:p>
    <w:p w14:paraId="0B6F06DC" w14:textId="77777777" w:rsidR="004008A2" w:rsidRDefault="00560CD6" w:rsidP="00AC2A69">
      <w:pPr>
        <w:pStyle w:val="Blockquote"/>
        <w:keepLines/>
        <w:ind w:left="1134" w:right="1"/>
        <w:jc w:val="both"/>
        <w:rPr>
          <w:sz w:val="22"/>
          <w:szCs w:val="22"/>
          <w:lang w:val="en-GB"/>
        </w:rPr>
      </w:pPr>
      <w:r w:rsidRPr="003F1149">
        <w:rPr>
          <w:sz w:val="22"/>
          <w:szCs w:val="22"/>
          <w:lang w:val="en-GB"/>
        </w:rPr>
        <w:t xml:space="preserve">An economic operator may, where appropriate and for a particular contract, rely on the capacities of other entities, regardless of the legal nature of the links which it has with them. </w:t>
      </w:r>
      <w:r w:rsidR="009F4A26">
        <w:rPr>
          <w:sz w:val="22"/>
          <w:szCs w:val="22"/>
          <w:lang w:val="en-GB"/>
        </w:rPr>
        <w:t>If the tender</w:t>
      </w:r>
      <w:r w:rsidR="004C383C">
        <w:rPr>
          <w:sz w:val="22"/>
          <w:szCs w:val="22"/>
          <w:lang w:val="en-GB"/>
        </w:rPr>
        <w:t>er</w:t>
      </w:r>
      <w:r w:rsidR="009F4A26">
        <w:rPr>
          <w:sz w:val="22"/>
          <w:szCs w:val="22"/>
          <w:lang w:val="en-GB"/>
        </w:rPr>
        <w:t xml:space="preserve"> rel</w:t>
      </w:r>
      <w:r w:rsidR="004F3A57">
        <w:rPr>
          <w:sz w:val="22"/>
          <w:szCs w:val="22"/>
          <w:lang w:val="en-GB"/>
        </w:rPr>
        <w:t>ies</w:t>
      </w:r>
      <w:r w:rsidR="009F4A26">
        <w:rPr>
          <w:sz w:val="22"/>
          <w:szCs w:val="22"/>
          <w:lang w:val="en-GB"/>
        </w:rPr>
        <w:t xml:space="preserve"> on other entities it</w:t>
      </w:r>
      <w:r w:rsidRPr="003F1149">
        <w:rPr>
          <w:sz w:val="22"/>
          <w:szCs w:val="22"/>
          <w:lang w:val="en-GB"/>
        </w:rPr>
        <w:t xml:space="preserve"> must prove to the </w:t>
      </w:r>
      <w:r w:rsidR="0014779C">
        <w:rPr>
          <w:sz w:val="22"/>
          <w:szCs w:val="22"/>
          <w:lang w:val="en-GB"/>
        </w:rPr>
        <w:t>c</w:t>
      </w:r>
      <w:r w:rsidRPr="003F1149">
        <w:rPr>
          <w:sz w:val="22"/>
          <w:szCs w:val="22"/>
          <w:lang w:val="en-GB"/>
        </w:rPr>
        <w:t xml:space="preserve">ontracting </w:t>
      </w:r>
      <w:r w:rsidR="0014779C">
        <w:rPr>
          <w:sz w:val="22"/>
          <w:szCs w:val="22"/>
          <w:lang w:val="en-GB"/>
        </w:rPr>
        <w:t>a</w:t>
      </w:r>
      <w:r w:rsidRPr="003F1149">
        <w:rPr>
          <w:sz w:val="22"/>
          <w:szCs w:val="22"/>
          <w:lang w:val="en-GB"/>
        </w:rPr>
        <w:t xml:space="preserve">uthority that it will have at its disposal the resources necessary for performance of the contract by </w:t>
      </w:r>
      <w:r w:rsidRPr="00A90F89">
        <w:rPr>
          <w:sz w:val="22"/>
          <w:szCs w:val="22"/>
          <w:lang w:val="en-GB"/>
        </w:rPr>
        <w:t>producing a</w:t>
      </w:r>
      <w:r w:rsidR="00A90F89" w:rsidRPr="00A90F89">
        <w:rPr>
          <w:sz w:val="22"/>
          <w:szCs w:val="22"/>
          <w:lang w:val="en-GB"/>
        </w:rPr>
        <w:t xml:space="preserve"> </w:t>
      </w:r>
      <w:r w:rsidR="00A90F89" w:rsidRPr="00A90F89">
        <w:rPr>
          <w:sz w:val="22"/>
          <w:szCs w:val="22"/>
        </w:rPr>
        <w:t xml:space="preserve">commitment </w:t>
      </w:r>
      <w:r w:rsidRPr="00A90F89">
        <w:rPr>
          <w:sz w:val="22"/>
          <w:szCs w:val="22"/>
          <w:lang w:val="en-GB"/>
        </w:rPr>
        <w:t xml:space="preserve">on the part of those entities to place those resources at its disposal. </w:t>
      </w:r>
      <w:r w:rsidR="004008A2" w:rsidRPr="00A90F89">
        <w:rPr>
          <w:sz w:val="22"/>
          <w:szCs w:val="22"/>
          <w:lang w:val="en-GB"/>
        </w:rPr>
        <w:t>Such entities</w:t>
      </w:r>
      <w:r w:rsidR="00A547F9" w:rsidRPr="00A90F89">
        <w:rPr>
          <w:sz w:val="22"/>
          <w:szCs w:val="22"/>
        </w:rPr>
        <w:t xml:space="preserve">, for instance the parent company of the economic operator, </w:t>
      </w:r>
      <w:r w:rsidR="004008A2" w:rsidRPr="00A90F89">
        <w:rPr>
          <w:sz w:val="22"/>
          <w:szCs w:val="22"/>
          <w:lang w:val="en-GB"/>
        </w:rPr>
        <w:t>must respect the same rules of eligibility and notably that of nationality, as the economic operator</w:t>
      </w:r>
      <w:r w:rsidR="004F3A57">
        <w:rPr>
          <w:sz w:val="22"/>
          <w:szCs w:val="22"/>
          <w:lang w:val="en-GB"/>
        </w:rPr>
        <w:t xml:space="preserve"> relying on them and must </w:t>
      </w:r>
      <w:r w:rsidR="004F3A57" w:rsidRPr="005966BF">
        <w:rPr>
          <w:sz w:val="22"/>
          <w:szCs w:val="22"/>
          <w:lang w:val="en-GB"/>
        </w:rPr>
        <w:t>comply with the selection criteria for which the economic operator relies on them</w:t>
      </w:r>
      <w:r w:rsidR="004008A2" w:rsidRPr="00A90F89">
        <w:rPr>
          <w:sz w:val="22"/>
          <w:szCs w:val="22"/>
          <w:lang w:val="en-GB"/>
        </w:rPr>
        <w:t>.</w:t>
      </w:r>
      <w:r w:rsidR="009F4A26" w:rsidRPr="00A90F89">
        <w:rPr>
          <w:sz w:val="22"/>
          <w:szCs w:val="22"/>
          <w:lang w:val="en-GB"/>
        </w:rPr>
        <w:t xml:space="preserve"> Furthermore</w:t>
      </w:r>
      <w:r w:rsidR="009F4A26">
        <w:rPr>
          <w:sz w:val="22"/>
          <w:szCs w:val="22"/>
          <w:lang w:val="en-GB"/>
        </w:rPr>
        <w:t xml:space="preserve">, the data for this third entity for the relevant selection criterion should be included in the tender in a separate document. Proof of the capacity will also have to be </w:t>
      </w:r>
      <w:r w:rsidR="00AC5D62">
        <w:rPr>
          <w:sz w:val="22"/>
          <w:szCs w:val="22"/>
          <w:lang w:val="en-GB"/>
        </w:rPr>
        <w:t>provid</w:t>
      </w:r>
      <w:r w:rsidR="009F4A26">
        <w:rPr>
          <w:sz w:val="22"/>
          <w:szCs w:val="22"/>
          <w:lang w:val="en-GB"/>
        </w:rPr>
        <w:t xml:space="preserve">ed when requested by the </w:t>
      </w:r>
      <w:r w:rsidR="0014779C">
        <w:rPr>
          <w:sz w:val="22"/>
          <w:szCs w:val="22"/>
          <w:lang w:val="en-GB"/>
        </w:rPr>
        <w:t>c</w:t>
      </w:r>
      <w:r w:rsidR="009F4A26">
        <w:rPr>
          <w:sz w:val="22"/>
          <w:szCs w:val="22"/>
          <w:lang w:val="en-GB"/>
        </w:rPr>
        <w:t xml:space="preserve">ontracting </w:t>
      </w:r>
      <w:r w:rsidR="0014779C">
        <w:rPr>
          <w:sz w:val="22"/>
          <w:szCs w:val="22"/>
          <w:lang w:val="en-GB"/>
        </w:rPr>
        <w:t>a</w:t>
      </w:r>
      <w:r w:rsidR="009F4A26">
        <w:rPr>
          <w:sz w:val="22"/>
          <w:szCs w:val="22"/>
          <w:lang w:val="en-GB"/>
        </w:rPr>
        <w:t xml:space="preserve">uthority. </w:t>
      </w:r>
    </w:p>
    <w:p w14:paraId="3D66D0EE" w14:textId="77777777" w:rsidR="00A90F89" w:rsidRPr="00A90F89" w:rsidRDefault="00A90F89" w:rsidP="00AC2A69">
      <w:pPr>
        <w:pStyle w:val="Blockquote"/>
        <w:keepLines/>
        <w:ind w:left="1134" w:right="1"/>
        <w:jc w:val="both"/>
        <w:rPr>
          <w:sz w:val="22"/>
          <w:szCs w:val="22"/>
          <w:lang w:val="en-GB"/>
        </w:rPr>
      </w:pPr>
      <w:r w:rsidRPr="00A90F89">
        <w:rPr>
          <w:sz w:val="22"/>
          <w:szCs w:val="22"/>
          <w:lang w:val="en-GB"/>
        </w:rPr>
        <w:t xml:space="preserve">With regard to technical and professional criteria, a tenderer may only rely on the capacities of other entities where the latter will perform the </w:t>
      </w:r>
      <w:r>
        <w:rPr>
          <w:sz w:val="22"/>
          <w:szCs w:val="22"/>
          <w:lang w:val="en-GB"/>
        </w:rPr>
        <w:t>tasks</w:t>
      </w:r>
      <w:r w:rsidRPr="00A90F89">
        <w:rPr>
          <w:sz w:val="22"/>
          <w:szCs w:val="22"/>
          <w:lang w:val="en-GB"/>
        </w:rPr>
        <w:t xml:space="preserve"> for which these capacities are required.</w:t>
      </w:r>
    </w:p>
    <w:p w14:paraId="2C6A1E58" w14:textId="77777777" w:rsidR="00A90F89" w:rsidRDefault="00A90F89" w:rsidP="00AC2A69">
      <w:pPr>
        <w:pStyle w:val="Blockquote"/>
        <w:keepLines/>
        <w:ind w:left="1134" w:right="1"/>
        <w:jc w:val="both"/>
        <w:rPr>
          <w:sz w:val="22"/>
          <w:szCs w:val="22"/>
          <w:lang w:val="en-GB"/>
        </w:rPr>
      </w:pPr>
      <w:r w:rsidRPr="00A90F89">
        <w:rPr>
          <w:sz w:val="22"/>
          <w:szCs w:val="22"/>
          <w:lang w:val="en-GB"/>
        </w:rPr>
        <w:lastRenderedPageBreak/>
        <w:t>With regard to economic and financial criteria, the entities upon whose capacity the tenderer relies, become jointly and severally liable for the performance of the contract.</w:t>
      </w:r>
    </w:p>
    <w:p w14:paraId="2584C45A"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Award criteria</w:t>
      </w:r>
    </w:p>
    <w:p w14:paraId="716D77E0" w14:textId="3EFD7B2C" w:rsidR="00E23824" w:rsidRPr="003F1149" w:rsidRDefault="00E23824" w:rsidP="00AC2A69">
      <w:pPr>
        <w:pStyle w:val="Blockquote"/>
        <w:ind w:left="709" w:right="1"/>
        <w:jc w:val="both"/>
        <w:rPr>
          <w:sz w:val="22"/>
          <w:szCs w:val="22"/>
          <w:lang w:val="en-GB"/>
        </w:rPr>
      </w:pPr>
      <w:r w:rsidRPr="00335636">
        <w:rPr>
          <w:sz w:val="22"/>
          <w:szCs w:val="22"/>
          <w:lang w:val="en-GB"/>
        </w:rPr>
        <w:t xml:space="preserve">Price </w:t>
      </w:r>
      <w:r w:rsidR="00021ECF" w:rsidRPr="00335636">
        <w:rPr>
          <w:sz w:val="22"/>
          <w:szCs w:val="22"/>
          <w:lang w:val="en-GB"/>
        </w:rPr>
        <w:t>(</w:t>
      </w:r>
      <w:r w:rsidR="00580448" w:rsidRPr="00335636">
        <w:rPr>
          <w:sz w:val="22"/>
          <w:szCs w:val="22"/>
          <w:lang w:val="en-GB"/>
        </w:rPr>
        <w:t>or</w:t>
      </w:r>
      <w:r w:rsidRPr="00335636">
        <w:rPr>
          <w:sz w:val="22"/>
          <w:szCs w:val="22"/>
          <w:lang w:val="en-GB"/>
        </w:rPr>
        <w:t>, if appropriate</w:t>
      </w:r>
      <w:r w:rsidR="00AF346B" w:rsidRPr="00335636">
        <w:rPr>
          <w:sz w:val="22"/>
          <w:szCs w:val="22"/>
          <w:lang w:val="en-GB"/>
        </w:rPr>
        <w:t xml:space="preserve"> after</w:t>
      </w:r>
      <w:r w:rsidR="00672155" w:rsidRPr="00335636">
        <w:rPr>
          <w:sz w:val="22"/>
          <w:szCs w:val="22"/>
          <w:lang w:val="en-GB"/>
        </w:rPr>
        <w:t xml:space="preserve"> </w:t>
      </w:r>
      <w:r w:rsidR="00BB00EF" w:rsidRPr="00335636">
        <w:rPr>
          <w:sz w:val="22"/>
          <w:szCs w:val="22"/>
          <w:lang w:val="en-GB"/>
        </w:rPr>
        <w:t>prior approval</w:t>
      </w:r>
      <w:r w:rsidRPr="00335636">
        <w:rPr>
          <w:sz w:val="22"/>
          <w:szCs w:val="22"/>
          <w:lang w:val="en-GB"/>
        </w:rPr>
        <w:t xml:space="preserve">, </w:t>
      </w:r>
      <w:r w:rsidR="00746B08" w:rsidRPr="00335636">
        <w:rPr>
          <w:sz w:val="22"/>
          <w:szCs w:val="22"/>
          <w:lang w:val="en-GB"/>
        </w:rPr>
        <w:t xml:space="preserve">the </w:t>
      </w:r>
      <w:r w:rsidR="005D7F42" w:rsidRPr="00335636">
        <w:rPr>
          <w:sz w:val="22"/>
          <w:szCs w:val="22"/>
          <w:lang w:val="en-GB"/>
        </w:rPr>
        <w:t xml:space="preserve">best </w:t>
      </w:r>
      <w:r w:rsidR="00BB00EF" w:rsidRPr="00335636">
        <w:rPr>
          <w:sz w:val="22"/>
          <w:szCs w:val="22"/>
          <w:lang w:val="en-GB"/>
        </w:rPr>
        <w:t xml:space="preserve">price-quality ratio </w:t>
      </w:r>
      <w:r w:rsidR="00580448" w:rsidRPr="00335636">
        <w:rPr>
          <w:sz w:val="22"/>
          <w:szCs w:val="22"/>
          <w:lang w:val="en-GB"/>
        </w:rPr>
        <w:t xml:space="preserve">which is a </w:t>
      </w:r>
      <w:r w:rsidRPr="00335636">
        <w:rPr>
          <w:sz w:val="22"/>
          <w:szCs w:val="22"/>
          <w:lang w:val="en-GB"/>
        </w:rPr>
        <w:t>combination of quality</w:t>
      </w:r>
      <w:r w:rsidR="00973479" w:rsidRPr="00335636">
        <w:rPr>
          <w:sz w:val="22"/>
          <w:szCs w:val="22"/>
          <w:lang w:val="en-GB"/>
        </w:rPr>
        <w:t xml:space="preserve"> and </w:t>
      </w:r>
      <w:r w:rsidRPr="00335636">
        <w:rPr>
          <w:sz w:val="22"/>
          <w:szCs w:val="22"/>
          <w:lang w:val="en-GB"/>
        </w:rPr>
        <w:t>price</w:t>
      </w:r>
      <w:r w:rsidR="00021ECF" w:rsidRPr="00335636">
        <w:rPr>
          <w:sz w:val="22"/>
          <w:szCs w:val="22"/>
          <w:lang w:val="en-GB"/>
        </w:rPr>
        <w:t>)</w:t>
      </w:r>
      <w:r w:rsidR="00B06EB4">
        <w:rPr>
          <w:sz w:val="22"/>
          <w:szCs w:val="22"/>
          <w:lang w:val="en-GB"/>
        </w:rPr>
        <w:t>.</w:t>
      </w:r>
    </w:p>
    <w:p w14:paraId="0F9CBBA6" w14:textId="32392E0B" w:rsidR="00E23824" w:rsidRPr="003F1149" w:rsidRDefault="00D37836" w:rsidP="00AC2A69">
      <w:pPr>
        <w:spacing w:before="300"/>
        <w:ind w:right="1"/>
        <w:jc w:val="center"/>
        <w:rPr>
          <w:rStyle w:val="Strong"/>
          <w:sz w:val="28"/>
          <w:szCs w:val="28"/>
          <w:lang w:val="en-GB"/>
        </w:rPr>
      </w:pPr>
      <w:r>
        <w:rPr>
          <w:noProof/>
          <w:snapToGrid/>
          <w:lang w:val="mk-MK" w:eastAsia="mk-MK"/>
        </w:rPr>
        <mc:AlternateContent>
          <mc:Choice Requires="wps">
            <w:drawing>
              <wp:anchor distT="0" distB="0" distL="114300" distR="114300" simplePos="0" relativeHeight="251661824" behindDoc="0" locked="0" layoutInCell="0" allowOverlap="1" wp14:anchorId="432739FD" wp14:editId="1858275E">
                <wp:simplePos x="0" y="0"/>
                <wp:positionH relativeFrom="margin">
                  <wp:align>left</wp:align>
                </wp:positionH>
                <wp:positionV relativeFrom="paragraph">
                  <wp:posOffset>-6124</wp:posOffset>
                </wp:positionV>
                <wp:extent cx="5943600" cy="635"/>
                <wp:effectExtent l="0" t="19050" r="19050"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376F" id="Line 3" o:spid="_x0000_s1026" style="position:absolute;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" o:allowincell="f" strokecolor="#d4d4d4" strokeweight="1.75pt">
                <v:shadow on="t" offset="0,-1pt"/>
                <w10:wrap anchorx="margin"/>
              </v:line>
            </w:pict>
          </mc:Fallback>
        </mc:AlternateContent>
      </w:r>
      <w:r w:rsidR="00E23824" w:rsidRPr="003F1149">
        <w:rPr>
          <w:rStyle w:val="Strong"/>
          <w:sz w:val="28"/>
          <w:szCs w:val="28"/>
          <w:lang w:val="en-GB"/>
        </w:rPr>
        <w:t>TENDERING</w:t>
      </w:r>
    </w:p>
    <w:p w14:paraId="0AD778BE"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How to obtain the tender dossier</w:t>
      </w:r>
    </w:p>
    <w:p w14:paraId="073FD5A9" w14:textId="2CA3C13F" w:rsidR="00E23824" w:rsidRPr="003F1149" w:rsidRDefault="00E23824" w:rsidP="00FB6BDC">
      <w:pPr>
        <w:pStyle w:val="Blockquote"/>
        <w:ind w:left="720" w:right="1"/>
        <w:jc w:val="both"/>
        <w:rPr>
          <w:sz w:val="22"/>
          <w:szCs w:val="22"/>
          <w:lang w:val="en-GB"/>
        </w:rPr>
      </w:pPr>
      <w:r w:rsidRPr="003F1149">
        <w:rPr>
          <w:sz w:val="22"/>
          <w:szCs w:val="22"/>
          <w:lang w:val="en-GB"/>
        </w:rPr>
        <w:t>The tender dossier is available from the following Internet address:</w:t>
      </w:r>
      <w:r w:rsidR="00A05750">
        <w:rPr>
          <w:sz w:val="22"/>
          <w:szCs w:val="22"/>
          <w:lang w:val="en-GB"/>
        </w:rPr>
        <w:t xml:space="preserve"> </w:t>
      </w:r>
      <w:hyperlink r:id="rId8" w:history="1">
        <w:r w:rsidR="00561A4D" w:rsidRPr="008418D4">
          <w:rPr>
            <w:rStyle w:val="Hyperlink"/>
            <w:sz w:val="22"/>
            <w:szCs w:val="22"/>
            <w:lang w:val="en-GB"/>
          </w:rPr>
          <w:t>https://webgate.ec.europa.eu/europeaid/online-services/index.cfm?do=publi.welcome</w:t>
        </w:r>
      </w:hyperlink>
      <w:r w:rsidRPr="00A61045">
        <w:rPr>
          <w:sz w:val="22"/>
          <w:szCs w:val="22"/>
          <w:lang w:val="en-GB"/>
        </w:rPr>
        <w:t xml:space="preserve">. </w:t>
      </w:r>
      <w:r w:rsidRPr="00335636">
        <w:rPr>
          <w:sz w:val="22"/>
          <w:szCs w:val="22"/>
          <w:lang w:val="en-GB"/>
        </w:rPr>
        <w:t xml:space="preserve">The tender dossier is also available from the </w:t>
      </w:r>
      <w:r w:rsidR="0014779C" w:rsidRPr="00335636">
        <w:rPr>
          <w:sz w:val="22"/>
          <w:szCs w:val="22"/>
          <w:lang w:val="en-GB"/>
        </w:rPr>
        <w:t>c</w:t>
      </w:r>
      <w:r w:rsidRPr="00335636">
        <w:rPr>
          <w:sz w:val="22"/>
          <w:szCs w:val="22"/>
          <w:lang w:val="en-GB"/>
        </w:rPr>
        <w:t xml:space="preserve">ontracting </w:t>
      </w:r>
      <w:r w:rsidR="0014779C" w:rsidRPr="00335636">
        <w:rPr>
          <w:sz w:val="22"/>
          <w:szCs w:val="22"/>
          <w:lang w:val="en-GB"/>
        </w:rPr>
        <w:t>a</w:t>
      </w:r>
      <w:r w:rsidRPr="00335636">
        <w:rPr>
          <w:sz w:val="22"/>
          <w:szCs w:val="22"/>
          <w:lang w:val="en-GB"/>
        </w:rPr>
        <w:t>uthority</w:t>
      </w:r>
      <w:r w:rsidR="00907CDD" w:rsidRPr="00335636">
        <w:rPr>
          <w:sz w:val="22"/>
          <w:szCs w:val="22"/>
          <w:lang w:val="en-GB"/>
        </w:rPr>
        <w:t xml:space="preserve"> web page: </w:t>
      </w:r>
      <w:hyperlink r:id="rId9" w:history="1">
        <w:r w:rsidR="00907CDD" w:rsidRPr="00335636">
          <w:rPr>
            <w:rStyle w:val="Hyperlink"/>
            <w:sz w:val="22"/>
            <w:szCs w:val="22"/>
            <w:lang w:val="en-GB"/>
          </w:rPr>
          <w:t>www.moepp.gov.mk</w:t>
        </w:r>
      </w:hyperlink>
      <w:r w:rsidR="00F96191">
        <w:rPr>
          <w:sz w:val="22"/>
          <w:szCs w:val="22"/>
          <w:lang w:val="en-GB"/>
        </w:rPr>
        <w:t xml:space="preserve">, </w:t>
      </w:r>
      <w:r w:rsidR="00907CDD" w:rsidRPr="00335636">
        <w:rPr>
          <w:sz w:val="22"/>
          <w:szCs w:val="22"/>
          <w:lang w:val="en-GB"/>
        </w:rPr>
        <w:t>and on the web page:</w:t>
      </w:r>
      <w:r w:rsidR="00907CDD" w:rsidRPr="00335636">
        <w:t xml:space="preserve"> </w:t>
      </w:r>
      <w:hyperlink r:id="rId10" w:history="1">
        <w:r w:rsidR="00907CDD" w:rsidRPr="00335636">
          <w:rPr>
            <w:rStyle w:val="Hyperlink"/>
            <w:sz w:val="22"/>
            <w:szCs w:val="18"/>
          </w:rPr>
          <w:t>http://www.ipa-cbc-programme.eu/home</w:t>
        </w:r>
      </w:hyperlink>
      <w:r w:rsidR="00FB6BDC" w:rsidRPr="00335636">
        <w:rPr>
          <w:rStyle w:val="Hyperlink"/>
          <w:sz w:val="22"/>
          <w:szCs w:val="18"/>
        </w:rPr>
        <w:t>/</w:t>
      </w:r>
      <w:r w:rsidRPr="00335636">
        <w:rPr>
          <w:sz w:val="22"/>
          <w:szCs w:val="22"/>
          <w:lang w:val="en-GB"/>
        </w:rPr>
        <w:t>.</w:t>
      </w:r>
      <w:r w:rsidRPr="003F1149">
        <w:rPr>
          <w:sz w:val="22"/>
          <w:szCs w:val="22"/>
          <w:lang w:val="en-GB"/>
        </w:rPr>
        <w:t xml:space="preserve"> Tenders must be submitted using the standard </w:t>
      </w:r>
      <w:r w:rsidR="0014779C">
        <w:rPr>
          <w:sz w:val="22"/>
          <w:szCs w:val="22"/>
          <w:lang w:val="en-GB"/>
        </w:rPr>
        <w:t>t</w:t>
      </w:r>
      <w:r w:rsidR="00733C1A" w:rsidRPr="003F1149">
        <w:rPr>
          <w:sz w:val="22"/>
          <w:szCs w:val="22"/>
          <w:lang w:val="en-GB"/>
        </w:rPr>
        <w:t xml:space="preserve">ender </w:t>
      </w:r>
      <w:r w:rsidR="0014779C">
        <w:rPr>
          <w:sz w:val="22"/>
          <w:szCs w:val="22"/>
          <w:lang w:val="en-GB"/>
        </w:rPr>
        <w:t>f</w:t>
      </w:r>
      <w:r w:rsidR="00733C1A" w:rsidRPr="003F1149">
        <w:rPr>
          <w:sz w:val="22"/>
          <w:szCs w:val="22"/>
          <w:lang w:val="en-GB"/>
        </w:rPr>
        <w:t xml:space="preserve">orm for a </w:t>
      </w:r>
      <w:r w:rsidR="0014779C">
        <w:rPr>
          <w:sz w:val="22"/>
          <w:szCs w:val="22"/>
          <w:lang w:val="en-GB"/>
        </w:rPr>
        <w:t>s</w:t>
      </w:r>
      <w:r w:rsidR="00733C1A" w:rsidRPr="003F1149">
        <w:rPr>
          <w:sz w:val="22"/>
          <w:szCs w:val="22"/>
          <w:lang w:val="en-GB"/>
        </w:rPr>
        <w:t xml:space="preserve">upply </w:t>
      </w:r>
      <w:r w:rsidR="0014779C">
        <w:rPr>
          <w:sz w:val="22"/>
          <w:szCs w:val="22"/>
          <w:lang w:val="en-GB"/>
        </w:rPr>
        <w:t>c</w:t>
      </w:r>
      <w:r w:rsidR="00733C1A" w:rsidRPr="003F1149">
        <w:rPr>
          <w:sz w:val="22"/>
          <w:szCs w:val="22"/>
          <w:lang w:val="en-GB"/>
        </w:rPr>
        <w:t>ontract</w:t>
      </w:r>
      <w:r w:rsidRPr="003F1149">
        <w:rPr>
          <w:sz w:val="22"/>
          <w:szCs w:val="22"/>
          <w:lang w:val="en-GB"/>
        </w:rPr>
        <w:t xml:space="preserve"> included in the tender dossier, whose format and instructions must be strictly observed.</w:t>
      </w:r>
    </w:p>
    <w:p w14:paraId="36F4768F" w14:textId="6AA8F192" w:rsidR="00AC4ADE" w:rsidRDefault="00E23824" w:rsidP="00FB6BDC">
      <w:pPr>
        <w:ind w:left="720" w:right="1"/>
        <w:jc w:val="both"/>
        <w:rPr>
          <w:sz w:val="22"/>
          <w:szCs w:val="22"/>
          <w:lang w:val="en-GB"/>
        </w:rPr>
      </w:pPr>
      <w:r w:rsidRPr="003F1149">
        <w:rPr>
          <w:sz w:val="22"/>
          <w:szCs w:val="22"/>
          <w:lang w:val="en-GB"/>
        </w:rPr>
        <w:t xml:space="preserve">Tenderers with questions regarding this tender should send them in writing to </w:t>
      </w:r>
      <w:r w:rsidR="00F357EE" w:rsidRPr="000870D4">
        <w:rPr>
          <w:b/>
          <w:bCs/>
          <w:sz w:val="22"/>
          <w:szCs w:val="22"/>
          <w:lang w:val="en-GB"/>
        </w:rPr>
        <w:t xml:space="preserve">Ministry of Environment and Physical Planning, Square </w:t>
      </w:r>
      <w:proofErr w:type="spellStart"/>
      <w:r w:rsidR="00F357EE" w:rsidRPr="000870D4">
        <w:rPr>
          <w:b/>
          <w:bCs/>
          <w:sz w:val="22"/>
          <w:szCs w:val="22"/>
          <w:lang w:val="en-GB"/>
        </w:rPr>
        <w:t>Presveta</w:t>
      </w:r>
      <w:proofErr w:type="spellEnd"/>
      <w:r w:rsidR="00F357EE" w:rsidRPr="000870D4">
        <w:rPr>
          <w:b/>
          <w:bCs/>
          <w:sz w:val="22"/>
          <w:szCs w:val="22"/>
          <w:lang w:val="en-GB"/>
        </w:rPr>
        <w:t xml:space="preserve"> </w:t>
      </w:r>
      <w:proofErr w:type="spellStart"/>
      <w:r w:rsidR="00F357EE" w:rsidRPr="000870D4">
        <w:rPr>
          <w:b/>
          <w:bCs/>
          <w:sz w:val="22"/>
          <w:szCs w:val="22"/>
          <w:lang w:val="en-GB"/>
        </w:rPr>
        <w:t>Bogorodica</w:t>
      </w:r>
      <w:proofErr w:type="spellEnd"/>
      <w:r w:rsidR="00F357EE" w:rsidRPr="000870D4">
        <w:rPr>
          <w:b/>
          <w:bCs/>
          <w:sz w:val="22"/>
          <w:szCs w:val="22"/>
          <w:lang w:val="en-GB"/>
        </w:rPr>
        <w:t xml:space="preserve"> no. 3, 1000 Skopje, Republic of North Macedonia, </w:t>
      </w:r>
      <w:r w:rsidR="00E7091E" w:rsidRPr="000870D4">
        <w:rPr>
          <w:b/>
          <w:bCs/>
          <w:sz w:val="22"/>
          <w:szCs w:val="22"/>
          <w:lang w:val="en-GB"/>
        </w:rPr>
        <w:t xml:space="preserve">, on fax: </w:t>
      </w:r>
      <w:r w:rsidR="00907CDD" w:rsidRPr="000870D4">
        <w:rPr>
          <w:b/>
          <w:bCs/>
          <w:sz w:val="22"/>
          <w:szCs w:val="22"/>
          <w:lang w:val="en-GB"/>
        </w:rPr>
        <w:t>+389 2 3220 165</w:t>
      </w:r>
      <w:r w:rsidR="00E7091E" w:rsidRPr="000870D4">
        <w:rPr>
          <w:b/>
          <w:bCs/>
          <w:sz w:val="22"/>
          <w:szCs w:val="22"/>
          <w:lang w:val="en-GB"/>
        </w:rPr>
        <w:t xml:space="preserve">, or via e-mail: </w:t>
      </w:r>
      <w:r w:rsidR="00335636" w:rsidRPr="000870D4">
        <w:rPr>
          <w:b/>
          <w:bCs/>
          <w:sz w:val="22"/>
          <w:szCs w:val="22"/>
          <w:lang w:val="en-GB"/>
        </w:rPr>
        <w:t>s.gjorgjeva</w:t>
      </w:r>
      <w:r w:rsidR="00E7091E" w:rsidRPr="000870D4">
        <w:rPr>
          <w:b/>
          <w:bCs/>
          <w:sz w:val="22"/>
          <w:szCs w:val="22"/>
          <w:lang w:val="en-GB"/>
        </w:rPr>
        <w:t>@moepp.gov.mk</w:t>
      </w:r>
      <w:r w:rsidRPr="003F1149">
        <w:rPr>
          <w:sz w:val="22"/>
          <w:szCs w:val="22"/>
          <w:lang w:val="en-GB"/>
        </w:rPr>
        <w:t xml:space="preserve"> (mentioning the publication reference shown in item 1) at </w:t>
      </w:r>
      <w:r w:rsidR="009B10AE">
        <w:rPr>
          <w:sz w:val="22"/>
          <w:szCs w:val="22"/>
          <w:lang w:val="en-GB"/>
        </w:rPr>
        <w:t>the latest</w:t>
      </w:r>
      <w:r w:rsidRPr="003F1149">
        <w:rPr>
          <w:sz w:val="22"/>
          <w:szCs w:val="22"/>
          <w:lang w:val="en-GB"/>
        </w:rPr>
        <w:t xml:space="preserve"> 21 days before the deadline for submission of tenders given in item 19. The </w:t>
      </w:r>
      <w:r w:rsidR="0014779C">
        <w:rPr>
          <w:sz w:val="22"/>
          <w:szCs w:val="22"/>
          <w:lang w:val="en-GB"/>
        </w:rPr>
        <w:t>c</w:t>
      </w:r>
      <w:r w:rsidRPr="003F1149">
        <w:rPr>
          <w:sz w:val="22"/>
          <w:szCs w:val="22"/>
          <w:lang w:val="en-GB"/>
        </w:rPr>
        <w:t xml:space="preserve">ontracting </w:t>
      </w:r>
      <w:r w:rsidR="0014779C">
        <w:rPr>
          <w:sz w:val="22"/>
          <w:szCs w:val="22"/>
          <w:lang w:val="en-GB"/>
        </w:rPr>
        <w:t>a</w:t>
      </w:r>
      <w:r w:rsidRPr="003F1149">
        <w:rPr>
          <w:sz w:val="22"/>
          <w:szCs w:val="22"/>
          <w:lang w:val="en-GB"/>
        </w:rPr>
        <w:t>uthority must reply to all tenderers' questions at</w:t>
      </w:r>
      <w:r w:rsidR="009B10AE">
        <w:rPr>
          <w:sz w:val="22"/>
          <w:szCs w:val="22"/>
          <w:lang w:val="en-GB"/>
        </w:rPr>
        <w:t xml:space="preserve"> the</w:t>
      </w:r>
      <w:r w:rsidRPr="003F1149">
        <w:rPr>
          <w:sz w:val="22"/>
          <w:szCs w:val="22"/>
          <w:lang w:val="en-GB"/>
        </w:rPr>
        <w:t xml:space="preserve"> </w:t>
      </w:r>
      <w:r w:rsidRPr="00A61045">
        <w:rPr>
          <w:sz w:val="22"/>
          <w:szCs w:val="22"/>
          <w:lang w:val="en-GB"/>
        </w:rPr>
        <w:t>l</w:t>
      </w:r>
      <w:r w:rsidR="009B10AE">
        <w:rPr>
          <w:sz w:val="22"/>
          <w:szCs w:val="22"/>
          <w:lang w:val="en-GB"/>
        </w:rPr>
        <w:t>atest</w:t>
      </w:r>
      <w:r w:rsidRPr="00A61045">
        <w:rPr>
          <w:sz w:val="22"/>
          <w:szCs w:val="22"/>
          <w:lang w:val="en-GB"/>
        </w:rPr>
        <w:t xml:space="preserve"> 11 days before the</w:t>
      </w:r>
      <w:r w:rsidRPr="00A61045">
        <w:rPr>
          <w:lang w:val="en-GB"/>
        </w:rPr>
        <w:t xml:space="preserve"> </w:t>
      </w:r>
      <w:r w:rsidRPr="00A61045">
        <w:rPr>
          <w:sz w:val="22"/>
          <w:szCs w:val="22"/>
          <w:lang w:val="en-GB"/>
        </w:rPr>
        <w:t>deadline for submission of tenders.</w:t>
      </w:r>
      <w:r w:rsidR="006E469C" w:rsidRPr="00A61045">
        <w:rPr>
          <w:sz w:val="22"/>
          <w:szCs w:val="22"/>
          <w:lang w:val="en-GB"/>
        </w:rPr>
        <w:t xml:space="preserve"> Eventual clarifications </w:t>
      </w:r>
      <w:r w:rsidR="00BC3573" w:rsidRPr="00A61045">
        <w:rPr>
          <w:sz w:val="22"/>
          <w:szCs w:val="22"/>
          <w:lang w:val="en-GB"/>
        </w:rPr>
        <w:t xml:space="preserve">or minor changes </w:t>
      </w:r>
      <w:r w:rsidR="006E469C" w:rsidRPr="00A61045">
        <w:rPr>
          <w:sz w:val="22"/>
          <w:szCs w:val="22"/>
          <w:lang w:val="en-GB"/>
        </w:rPr>
        <w:t xml:space="preserve">to the tender dossier shall be published </w:t>
      </w:r>
      <w:r w:rsidR="00BC3573" w:rsidRPr="00A61045">
        <w:rPr>
          <w:sz w:val="22"/>
          <w:szCs w:val="22"/>
          <w:lang w:val="en-GB"/>
        </w:rPr>
        <w:t xml:space="preserve">at the latest 11 days before the submission deadline </w:t>
      </w:r>
      <w:r w:rsidR="006E469C" w:rsidRPr="00A61045">
        <w:rPr>
          <w:sz w:val="22"/>
          <w:szCs w:val="22"/>
          <w:lang w:val="en-GB"/>
        </w:rPr>
        <w:t>on the website</w:t>
      </w:r>
      <w:r w:rsidR="00172F51">
        <w:rPr>
          <w:sz w:val="22"/>
          <w:szCs w:val="22"/>
          <w:lang w:val="en-GB"/>
        </w:rPr>
        <w:t xml:space="preserve"> of DG International Cooperation and Development</w:t>
      </w:r>
      <w:r w:rsidR="006E469C" w:rsidRPr="00A61045">
        <w:rPr>
          <w:sz w:val="22"/>
          <w:szCs w:val="22"/>
          <w:lang w:val="en-GB"/>
        </w:rPr>
        <w:t xml:space="preserve"> at</w:t>
      </w:r>
      <w:r w:rsidR="00BC3573" w:rsidRPr="00A61045">
        <w:rPr>
          <w:sz w:val="22"/>
          <w:szCs w:val="22"/>
          <w:lang w:val="en-GB"/>
        </w:rPr>
        <w:t xml:space="preserve"> </w:t>
      </w:r>
      <w:hyperlink r:id="rId11" w:history="1">
        <w:r w:rsidR="00FB6BDC" w:rsidRPr="00C01C09">
          <w:rPr>
            <w:rStyle w:val="Hyperlink"/>
            <w:sz w:val="22"/>
            <w:szCs w:val="22"/>
            <w:lang w:val="en-GB"/>
          </w:rPr>
          <w:t>https://webgate.ec.europa.eu/europeaid/online-services/index.cfm?do=publi.welcome/</w:t>
        </w:r>
      </w:hyperlink>
      <w:r w:rsidR="00FB6BDC" w:rsidRPr="00FB6BDC">
        <w:t xml:space="preserve"> </w:t>
      </w:r>
      <w:r w:rsidR="00907CDD" w:rsidRPr="00335636">
        <w:rPr>
          <w:sz w:val="22"/>
          <w:szCs w:val="18"/>
        </w:rPr>
        <w:t>and o</w:t>
      </w:r>
      <w:r w:rsidR="00FB6BDC" w:rsidRPr="00335636">
        <w:rPr>
          <w:sz w:val="22"/>
          <w:szCs w:val="18"/>
        </w:rPr>
        <w:t xml:space="preserve">n </w:t>
      </w:r>
      <w:r w:rsidR="00907CDD" w:rsidRPr="00335636">
        <w:rPr>
          <w:sz w:val="22"/>
          <w:szCs w:val="22"/>
          <w:lang w:val="en-GB"/>
        </w:rPr>
        <w:t xml:space="preserve">web pages: </w:t>
      </w:r>
      <w:hyperlink r:id="rId12" w:history="1">
        <w:r w:rsidR="00907CDD" w:rsidRPr="00335636">
          <w:rPr>
            <w:rStyle w:val="Hyperlink"/>
            <w:sz w:val="22"/>
            <w:szCs w:val="22"/>
            <w:lang w:val="en-GB"/>
          </w:rPr>
          <w:t>www.moepp.gov.mk</w:t>
        </w:r>
      </w:hyperlink>
      <w:r w:rsidR="00907CDD" w:rsidRPr="00335636">
        <w:rPr>
          <w:sz w:val="22"/>
          <w:szCs w:val="22"/>
          <w:lang w:val="en-GB"/>
        </w:rPr>
        <w:t>,</w:t>
      </w:r>
      <w:r w:rsidR="00907CDD" w:rsidRPr="00335636">
        <w:t xml:space="preserve"> </w:t>
      </w:r>
      <w:hyperlink r:id="rId13" w:history="1">
        <w:r w:rsidR="00907CDD" w:rsidRPr="00335636">
          <w:rPr>
            <w:rStyle w:val="Hyperlink"/>
            <w:sz w:val="22"/>
            <w:szCs w:val="16"/>
          </w:rPr>
          <w:t>http://www.ipa-cbc-programme.eu/home/</w:t>
        </w:r>
      </w:hyperlink>
      <w:r w:rsidR="005C2917" w:rsidRPr="00335636">
        <w:rPr>
          <w:sz w:val="22"/>
          <w:szCs w:val="22"/>
          <w:lang w:val="en-GB"/>
        </w:rPr>
        <w:t>.</w:t>
      </w:r>
    </w:p>
    <w:p w14:paraId="5B750E56" w14:textId="77777777" w:rsidR="00E23824" w:rsidRDefault="00E23824" w:rsidP="00AC2A69">
      <w:pPr>
        <w:numPr>
          <w:ilvl w:val="0"/>
          <w:numId w:val="35"/>
        </w:numPr>
        <w:tabs>
          <w:tab w:val="clear" w:pos="644"/>
          <w:tab w:val="num" w:pos="709"/>
        </w:tabs>
        <w:ind w:left="709" w:right="1" w:hanging="425"/>
        <w:jc w:val="both"/>
        <w:outlineLvl w:val="0"/>
        <w:rPr>
          <w:rStyle w:val="Strong"/>
          <w:szCs w:val="24"/>
          <w:lang w:val="en-GB"/>
        </w:rPr>
      </w:pPr>
      <w:bookmarkStart w:id="4" w:name="_Hlk30750383"/>
      <w:r w:rsidRPr="00A336A0">
        <w:rPr>
          <w:rStyle w:val="Strong"/>
          <w:szCs w:val="24"/>
          <w:lang w:val="en-GB"/>
        </w:rPr>
        <w:t>Deadline for submission of tenders</w:t>
      </w:r>
    </w:p>
    <w:bookmarkEnd w:id="4"/>
    <w:p w14:paraId="34B3D089" w14:textId="77777777" w:rsidR="0023457E" w:rsidRPr="00A40479" w:rsidRDefault="0023457E" w:rsidP="00B06EB4">
      <w:pPr>
        <w:pStyle w:val="Blockquote"/>
        <w:ind w:left="709" w:right="26"/>
        <w:jc w:val="both"/>
        <w:rPr>
          <w:rStyle w:val="Emphasis"/>
          <w:i w:val="0"/>
          <w:sz w:val="22"/>
          <w:szCs w:val="22"/>
          <w:lang w:val="en-GB"/>
        </w:rPr>
      </w:pPr>
      <w:r w:rsidRPr="00A40479">
        <w:rPr>
          <w:rStyle w:val="Emphasis"/>
          <w:i w:val="0"/>
          <w:sz w:val="22"/>
          <w:szCs w:val="22"/>
          <w:lang w:val="en-GB"/>
        </w:rPr>
        <w:t>The tenderer's attention is drawn to the fact that there are two different systems for sending tenders</w:t>
      </w:r>
      <w:r w:rsidR="00E927E5">
        <w:rPr>
          <w:rStyle w:val="Emphasis"/>
          <w:i w:val="0"/>
          <w:sz w:val="22"/>
          <w:szCs w:val="22"/>
          <w:lang w:val="en-GB"/>
        </w:rPr>
        <w:t>: one is</w:t>
      </w:r>
      <w:r w:rsidRPr="00A40479">
        <w:rPr>
          <w:rStyle w:val="Emphasis"/>
          <w:i w:val="0"/>
          <w:sz w:val="22"/>
          <w:szCs w:val="22"/>
          <w:lang w:val="en-GB"/>
        </w:rPr>
        <w:t xml:space="preserve"> by post or private mail service, </w:t>
      </w:r>
      <w:r w:rsidR="00E927E5" w:rsidRPr="005942B8">
        <w:rPr>
          <w:rStyle w:val="Emphasis"/>
          <w:i w:val="0"/>
          <w:sz w:val="22"/>
          <w:szCs w:val="22"/>
          <w:lang w:val="en-GB"/>
        </w:rPr>
        <w:t xml:space="preserve">the other is </w:t>
      </w:r>
      <w:r w:rsidRPr="00A40479">
        <w:rPr>
          <w:rStyle w:val="Emphasis"/>
          <w:i w:val="0"/>
          <w:sz w:val="22"/>
          <w:szCs w:val="22"/>
          <w:lang w:val="en-GB"/>
        </w:rPr>
        <w:t>by hand delivery.</w:t>
      </w:r>
    </w:p>
    <w:p w14:paraId="7153E2B2" w14:textId="4C51A9B7" w:rsidR="0023457E" w:rsidRDefault="0023457E" w:rsidP="00B06EB4">
      <w:pPr>
        <w:pStyle w:val="Blockquote"/>
        <w:ind w:left="709" w:right="26"/>
        <w:jc w:val="both"/>
        <w:rPr>
          <w:rStyle w:val="Emphasis"/>
          <w:i w:val="0"/>
          <w:sz w:val="22"/>
          <w:szCs w:val="22"/>
          <w:lang w:val="en-GB"/>
        </w:rPr>
      </w:pPr>
      <w:r w:rsidRPr="00A40479">
        <w:rPr>
          <w:rStyle w:val="Emphasis"/>
          <w:i w:val="0"/>
          <w:sz w:val="22"/>
          <w:szCs w:val="22"/>
          <w:lang w:val="en-GB"/>
        </w:rPr>
        <w:t>In the first case, the tender must be sent before the date and time limit for submission, as evidenced by the postmark or deposit slip</w:t>
      </w:r>
      <w:r>
        <w:rPr>
          <w:rStyle w:val="FootnoteReference"/>
          <w:sz w:val="22"/>
          <w:szCs w:val="22"/>
          <w:lang w:val="en-GB"/>
        </w:rPr>
        <w:footnoteReference w:id="1"/>
      </w:r>
      <w:r w:rsidRPr="00A40479">
        <w:rPr>
          <w:rStyle w:val="Emphasis"/>
          <w:i w:val="0"/>
          <w:sz w:val="22"/>
          <w:szCs w:val="22"/>
          <w:lang w:val="en-GB"/>
        </w:rPr>
        <w:t xml:space="preserve">, but in the second case it is the acknowledgment of receipt given at the time of the delivery of the </w:t>
      </w:r>
      <w:r>
        <w:rPr>
          <w:rStyle w:val="Emphasis"/>
          <w:i w:val="0"/>
          <w:sz w:val="22"/>
          <w:szCs w:val="22"/>
          <w:lang w:val="en-GB"/>
        </w:rPr>
        <w:t>tender which will serve as proof</w:t>
      </w:r>
      <w:r w:rsidR="00CE0F91">
        <w:rPr>
          <w:rStyle w:val="Emphasis"/>
          <w:i w:val="0"/>
          <w:sz w:val="22"/>
          <w:szCs w:val="22"/>
          <w:lang w:val="en-GB"/>
        </w:rPr>
        <w:t>:</w:t>
      </w:r>
    </w:p>
    <w:p w14:paraId="14CD6F12" w14:textId="4C832F8A" w:rsidR="000870D4" w:rsidRDefault="000870D4" w:rsidP="00AC2A69">
      <w:pPr>
        <w:pStyle w:val="Blockquote"/>
        <w:ind w:left="709" w:right="1"/>
        <w:jc w:val="both"/>
        <w:rPr>
          <w:sz w:val="22"/>
          <w:szCs w:val="22"/>
          <w:lang w:val="en-GB"/>
        </w:rPr>
      </w:pPr>
      <w:r w:rsidRPr="000131AE">
        <w:rPr>
          <w:b/>
          <w:bCs/>
          <w:sz w:val="22"/>
        </w:rPr>
        <w:t>10.03.2020</w:t>
      </w:r>
      <w:r>
        <w:rPr>
          <w:b/>
          <w:bCs/>
          <w:sz w:val="22"/>
        </w:rPr>
        <w:t xml:space="preserve"> before </w:t>
      </w:r>
      <w:r w:rsidRPr="000131AE">
        <w:rPr>
          <w:b/>
          <w:bCs/>
          <w:sz w:val="22"/>
        </w:rPr>
        <w:t>14:00 Local time</w:t>
      </w:r>
      <w:r w:rsidRPr="003F1149">
        <w:rPr>
          <w:sz w:val="22"/>
          <w:szCs w:val="22"/>
          <w:lang w:val="en-GB"/>
        </w:rPr>
        <w:t xml:space="preserve"> </w:t>
      </w:r>
    </w:p>
    <w:p w14:paraId="60C51C31" w14:textId="431196A7" w:rsidR="00E23824" w:rsidRDefault="00E23824" w:rsidP="00AC2A69">
      <w:pPr>
        <w:pStyle w:val="Blockquote"/>
        <w:ind w:left="709" w:right="1"/>
        <w:jc w:val="both"/>
        <w:rPr>
          <w:sz w:val="22"/>
          <w:szCs w:val="22"/>
          <w:lang w:val="en-GB"/>
        </w:rPr>
      </w:pPr>
      <w:r w:rsidRPr="003F1149">
        <w:rPr>
          <w:sz w:val="22"/>
          <w:szCs w:val="22"/>
          <w:lang w:val="en-GB"/>
        </w:rPr>
        <w:t xml:space="preserve">Any tender </w:t>
      </w:r>
      <w:r w:rsidR="0075026D">
        <w:rPr>
          <w:sz w:val="22"/>
          <w:szCs w:val="22"/>
          <w:lang w:val="en-GB"/>
        </w:rPr>
        <w:t>submitted to</w:t>
      </w:r>
      <w:r w:rsidR="000479E1">
        <w:rPr>
          <w:sz w:val="22"/>
          <w:szCs w:val="22"/>
          <w:lang w:val="en-GB"/>
        </w:rPr>
        <w:t xml:space="preserve"> the </w:t>
      </w:r>
      <w:r w:rsidR="0014779C">
        <w:rPr>
          <w:sz w:val="22"/>
          <w:szCs w:val="22"/>
          <w:lang w:val="en-GB"/>
        </w:rPr>
        <w:t>c</w:t>
      </w:r>
      <w:r w:rsidR="000479E1">
        <w:rPr>
          <w:sz w:val="22"/>
          <w:szCs w:val="22"/>
          <w:lang w:val="en-GB"/>
        </w:rPr>
        <w:t xml:space="preserve">ontracting </w:t>
      </w:r>
      <w:r w:rsidR="0014779C">
        <w:rPr>
          <w:sz w:val="22"/>
          <w:szCs w:val="22"/>
          <w:lang w:val="en-GB"/>
        </w:rPr>
        <w:t>a</w:t>
      </w:r>
      <w:r w:rsidR="000479E1">
        <w:rPr>
          <w:sz w:val="22"/>
          <w:szCs w:val="22"/>
          <w:lang w:val="en-GB"/>
        </w:rPr>
        <w:t xml:space="preserve">uthority </w:t>
      </w:r>
      <w:r w:rsidRPr="003F1149">
        <w:rPr>
          <w:sz w:val="22"/>
          <w:szCs w:val="22"/>
          <w:lang w:val="en-GB"/>
        </w:rPr>
        <w:t>after this deadline will not be considered.</w:t>
      </w:r>
    </w:p>
    <w:p w14:paraId="04D75B2C" w14:textId="77777777" w:rsidR="0023457E" w:rsidRPr="003319C5" w:rsidRDefault="0023457E" w:rsidP="0023457E">
      <w:pPr>
        <w:pStyle w:val="Blockquote"/>
        <w:ind w:left="709" w:right="26"/>
        <w:jc w:val="both"/>
        <w:rPr>
          <w:b/>
          <w:sz w:val="22"/>
          <w:szCs w:val="22"/>
          <w:lang w:val="en-GB"/>
        </w:rPr>
      </w:pPr>
      <w:r w:rsidRPr="003319C5">
        <w:rPr>
          <w:b/>
          <w:sz w:val="22"/>
          <w:szCs w:val="22"/>
          <w:lang w:val="en-GB"/>
        </w:rPr>
        <w:t>The contracting authority may, for reasons of administrative efficiency, reject any tender submitted on time to the postal service but received, for any reason beyond the contracting authority's control, after the effective date of approval  of the evaluation report, if accepting tenders that were submitted on time but arrived late would considerably delay the evaluation procedure or jeopardise decisions already taken and notified.</w:t>
      </w:r>
    </w:p>
    <w:p w14:paraId="54D15284" w14:textId="77777777" w:rsidR="0023457E" w:rsidRPr="003319C5" w:rsidRDefault="0023457E" w:rsidP="0023457E">
      <w:pPr>
        <w:ind w:left="709" w:right="26" w:hanging="349"/>
        <w:outlineLvl w:val="0"/>
        <w:rPr>
          <w:szCs w:val="24"/>
          <w:lang w:val="en-GB"/>
        </w:rPr>
      </w:pPr>
      <w:r w:rsidRPr="00D225CC">
        <w:rPr>
          <w:rStyle w:val="Strong"/>
          <w:sz w:val="22"/>
          <w:szCs w:val="22"/>
          <w:lang w:val="en-GB"/>
        </w:rPr>
        <w:tab/>
      </w:r>
      <w:r w:rsidR="000B39AD" w:rsidRPr="003319C5">
        <w:rPr>
          <w:rStyle w:val="Strong"/>
          <w:szCs w:val="24"/>
          <w:lang w:val="en-GB"/>
        </w:rPr>
        <w:t>How tenders</w:t>
      </w:r>
      <w:r w:rsidRPr="003319C5">
        <w:rPr>
          <w:rStyle w:val="Strong"/>
          <w:szCs w:val="24"/>
          <w:lang w:val="en-GB"/>
        </w:rPr>
        <w:t xml:space="preserve"> may be submitted</w:t>
      </w:r>
    </w:p>
    <w:p w14:paraId="7D57803F" w14:textId="77777777" w:rsidR="0023457E" w:rsidRPr="00D225CC" w:rsidRDefault="000B39AD" w:rsidP="0023457E">
      <w:pPr>
        <w:pStyle w:val="Blockquote"/>
        <w:ind w:left="709" w:right="26"/>
        <w:jc w:val="both"/>
        <w:rPr>
          <w:sz w:val="22"/>
          <w:szCs w:val="22"/>
          <w:lang w:val="en-GB"/>
        </w:rPr>
      </w:pPr>
      <w:r>
        <w:rPr>
          <w:sz w:val="22"/>
          <w:szCs w:val="22"/>
          <w:lang w:val="en-GB"/>
        </w:rPr>
        <w:t>Tenders</w:t>
      </w:r>
      <w:r w:rsidR="0023457E" w:rsidRPr="00D225CC">
        <w:rPr>
          <w:sz w:val="22"/>
          <w:szCs w:val="22"/>
          <w:lang w:val="en-GB"/>
        </w:rPr>
        <w:t xml:space="preserve"> must be submitted in English exclusively to the </w:t>
      </w:r>
      <w:r w:rsidR="0023457E">
        <w:rPr>
          <w:sz w:val="22"/>
          <w:szCs w:val="22"/>
          <w:lang w:val="en-GB"/>
        </w:rPr>
        <w:t>c</w:t>
      </w:r>
      <w:r w:rsidR="0023457E" w:rsidRPr="00D225CC">
        <w:rPr>
          <w:sz w:val="22"/>
          <w:szCs w:val="22"/>
          <w:lang w:val="en-GB"/>
        </w:rPr>
        <w:t xml:space="preserve">ontracting </w:t>
      </w:r>
      <w:r w:rsidR="0023457E">
        <w:rPr>
          <w:sz w:val="22"/>
          <w:szCs w:val="22"/>
          <w:lang w:val="en-GB"/>
        </w:rPr>
        <w:t>a</w:t>
      </w:r>
      <w:r w:rsidR="0023457E" w:rsidRPr="00D225CC">
        <w:rPr>
          <w:sz w:val="22"/>
          <w:szCs w:val="22"/>
          <w:lang w:val="en-GB"/>
        </w:rPr>
        <w:t>uthority</w:t>
      </w:r>
      <w:r w:rsidR="0023457E">
        <w:rPr>
          <w:sz w:val="22"/>
          <w:szCs w:val="22"/>
          <w:lang w:val="en-GB"/>
        </w:rPr>
        <w:t xml:space="preserve"> in a sealed envelope:</w:t>
      </w:r>
    </w:p>
    <w:p w14:paraId="20DFD91D" w14:textId="03DA2933" w:rsidR="0023457E" w:rsidRPr="00D225CC" w:rsidRDefault="0023457E" w:rsidP="0023457E">
      <w:pPr>
        <w:numPr>
          <w:ilvl w:val="0"/>
          <w:numId w:val="40"/>
        </w:numPr>
        <w:ind w:right="26"/>
        <w:jc w:val="both"/>
        <w:rPr>
          <w:sz w:val="22"/>
          <w:szCs w:val="22"/>
          <w:lang w:val="en-GB"/>
        </w:rPr>
      </w:pPr>
      <w:r w:rsidRPr="00D225CC">
        <w:rPr>
          <w:sz w:val="22"/>
          <w:szCs w:val="22"/>
          <w:lang w:val="en-GB"/>
        </w:rPr>
        <w:t>EITHER</w:t>
      </w:r>
      <w:r w:rsidRPr="005A61EC">
        <w:rPr>
          <w:sz w:val="22"/>
          <w:szCs w:val="22"/>
          <w:lang w:val="en-GB"/>
        </w:rPr>
        <w:t xml:space="preserve"> by post or by courier service, in which case the evidence shall be constituted by the postmark or the date of the deposit slip</w:t>
      </w:r>
      <w:r>
        <w:rPr>
          <w:sz w:val="22"/>
          <w:szCs w:val="22"/>
          <w:lang w:val="en-GB"/>
        </w:rPr>
        <w:t>,</w:t>
      </w:r>
      <w:r w:rsidRPr="00D225CC">
        <w:rPr>
          <w:sz w:val="22"/>
          <w:szCs w:val="22"/>
          <w:lang w:val="en-GB"/>
        </w:rPr>
        <w:t xml:space="preserve"> to:</w:t>
      </w:r>
    </w:p>
    <w:p w14:paraId="07BE120F" w14:textId="43915413" w:rsidR="00E7091E" w:rsidRDefault="00E7091E" w:rsidP="00B65C2C">
      <w:pPr>
        <w:pStyle w:val="Blockquote"/>
        <w:spacing w:before="0" w:after="0"/>
        <w:ind w:left="720" w:right="28"/>
        <w:jc w:val="both"/>
        <w:rPr>
          <w:b/>
          <w:bCs/>
          <w:sz w:val="22"/>
          <w:szCs w:val="22"/>
          <w:lang w:val="en-GB"/>
        </w:rPr>
      </w:pPr>
      <w:bookmarkStart w:id="5" w:name="_Hlk30750495"/>
      <w:r w:rsidRPr="003D5488">
        <w:rPr>
          <w:b/>
          <w:bCs/>
          <w:sz w:val="22"/>
          <w:szCs w:val="22"/>
          <w:lang w:val="en-GB"/>
        </w:rPr>
        <w:t>Ministry of Environment and Physical Planning</w:t>
      </w:r>
    </w:p>
    <w:p w14:paraId="4895E6A0" w14:textId="77777777" w:rsidR="000870D4" w:rsidRPr="003D5488" w:rsidRDefault="000870D4" w:rsidP="000870D4">
      <w:pPr>
        <w:pStyle w:val="Blockquote"/>
        <w:spacing w:before="0" w:after="0"/>
        <w:ind w:left="720" w:right="28"/>
        <w:jc w:val="both"/>
        <w:rPr>
          <w:b/>
          <w:bCs/>
          <w:sz w:val="22"/>
          <w:szCs w:val="22"/>
          <w:lang w:val="en-GB"/>
        </w:rPr>
      </w:pPr>
      <w:r w:rsidRPr="003D5488">
        <w:rPr>
          <w:b/>
          <w:bCs/>
          <w:sz w:val="22"/>
          <w:szCs w:val="22"/>
          <w:lang w:val="en-GB"/>
        </w:rPr>
        <w:t>Department Macedonian Environmental Information Centre</w:t>
      </w:r>
    </w:p>
    <w:p w14:paraId="21C77DAD" w14:textId="77777777" w:rsidR="00E7091E" w:rsidRPr="003D5488" w:rsidRDefault="00E7091E" w:rsidP="00B65C2C">
      <w:pPr>
        <w:pStyle w:val="Blockquote"/>
        <w:spacing w:before="0" w:after="0"/>
        <w:ind w:left="720" w:right="28"/>
        <w:jc w:val="both"/>
        <w:rPr>
          <w:b/>
          <w:bCs/>
          <w:sz w:val="22"/>
          <w:szCs w:val="22"/>
          <w:lang w:val="en-GB"/>
        </w:rPr>
      </w:pPr>
      <w:r w:rsidRPr="003D5488">
        <w:rPr>
          <w:b/>
          <w:bCs/>
          <w:sz w:val="22"/>
          <w:szCs w:val="22"/>
          <w:lang w:val="en-GB"/>
        </w:rPr>
        <w:t xml:space="preserve">Square </w:t>
      </w:r>
      <w:proofErr w:type="spellStart"/>
      <w:r w:rsidRPr="003D5488">
        <w:rPr>
          <w:b/>
          <w:bCs/>
          <w:sz w:val="22"/>
          <w:szCs w:val="22"/>
          <w:lang w:val="en-GB"/>
        </w:rPr>
        <w:t>Presveta</w:t>
      </w:r>
      <w:proofErr w:type="spellEnd"/>
      <w:r w:rsidRPr="003D5488">
        <w:rPr>
          <w:b/>
          <w:bCs/>
          <w:sz w:val="22"/>
          <w:szCs w:val="22"/>
          <w:lang w:val="en-GB"/>
        </w:rPr>
        <w:t xml:space="preserve"> </w:t>
      </w:r>
      <w:proofErr w:type="spellStart"/>
      <w:r w:rsidRPr="003D5488">
        <w:rPr>
          <w:b/>
          <w:bCs/>
          <w:sz w:val="22"/>
          <w:szCs w:val="22"/>
          <w:lang w:val="en-GB"/>
        </w:rPr>
        <w:t>Bogorodica</w:t>
      </w:r>
      <w:proofErr w:type="spellEnd"/>
      <w:r w:rsidRPr="003D5488">
        <w:rPr>
          <w:b/>
          <w:bCs/>
          <w:sz w:val="22"/>
          <w:szCs w:val="22"/>
          <w:lang w:val="en-GB"/>
        </w:rPr>
        <w:t xml:space="preserve"> no. 3</w:t>
      </w:r>
    </w:p>
    <w:p w14:paraId="7D2D2079" w14:textId="77777777" w:rsidR="00E7091E" w:rsidRPr="003D5488" w:rsidRDefault="00E7091E" w:rsidP="00E7091E">
      <w:pPr>
        <w:pStyle w:val="Blockquote"/>
        <w:spacing w:before="0" w:after="0"/>
        <w:ind w:left="720" w:right="28"/>
        <w:jc w:val="both"/>
        <w:rPr>
          <w:b/>
          <w:bCs/>
          <w:sz w:val="22"/>
          <w:szCs w:val="22"/>
          <w:lang w:val="en-GB"/>
        </w:rPr>
      </w:pPr>
      <w:r w:rsidRPr="003D5488">
        <w:rPr>
          <w:b/>
          <w:bCs/>
          <w:sz w:val="22"/>
          <w:szCs w:val="22"/>
          <w:lang w:val="en-GB"/>
        </w:rPr>
        <w:t>1000 Skopje, Republic of North Macedonia</w:t>
      </w:r>
    </w:p>
    <w:bookmarkEnd w:id="5"/>
    <w:p w14:paraId="4743BEDD" w14:textId="2DC63AE2" w:rsidR="0023457E" w:rsidRDefault="0023457E" w:rsidP="000870D4">
      <w:pPr>
        <w:pStyle w:val="Blockquote"/>
        <w:spacing w:before="0" w:after="0"/>
        <w:ind w:left="0" w:right="28"/>
        <w:rPr>
          <w:sz w:val="22"/>
          <w:szCs w:val="22"/>
          <w:highlight w:val="yellow"/>
          <w:lang w:val="en-GB"/>
        </w:rPr>
      </w:pPr>
      <w:r w:rsidRPr="00D225CC">
        <w:rPr>
          <w:rStyle w:val="Emphasis"/>
          <w:sz w:val="22"/>
          <w:szCs w:val="22"/>
          <w:lang w:val="en-GB"/>
        </w:rPr>
        <w:lastRenderedPageBreak/>
        <w:br/>
      </w:r>
    </w:p>
    <w:p w14:paraId="7B23AF5E" w14:textId="77777777" w:rsidR="0023457E" w:rsidRPr="00D225CC" w:rsidRDefault="0023457E" w:rsidP="0023457E">
      <w:pPr>
        <w:numPr>
          <w:ilvl w:val="0"/>
          <w:numId w:val="40"/>
        </w:numPr>
        <w:ind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w:t>
      </w:r>
      <w:r>
        <w:rPr>
          <w:sz w:val="22"/>
          <w:szCs w:val="22"/>
          <w:lang w:val="en-GB"/>
        </w:rPr>
        <w:t>d</w:t>
      </w:r>
      <w:r w:rsidRPr="00D225CC">
        <w:rPr>
          <w:sz w:val="22"/>
          <w:szCs w:val="22"/>
          <w:lang w:val="en-GB"/>
        </w:rPr>
        <w:t xml:space="preserve"> </w:t>
      </w:r>
      <w:r w:rsidRPr="005A61EC">
        <w:rPr>
          <w:sz w:val="22"/>
          <w:szCs w:val="22"/>
          <w:lang w:val="en-GB"/>
        </w:rPr>
        <w:t>by the participant in person or by an agent</w:t>
      </w:r>
      <w:r w:rsidRPr="00D225CC">
        <w:rPr>
          <w:rStyle w:val="Strong"/>
          <w:b w:val="0"/>
          <w:sz w:val="22"/>
          <w:szCs w:val="22"/>
          <w:lang w:val="en-GB"/>
        </w:rPr>
        <w:t xml:space="preserve"> directly</w:t>
      </w:r>
      <w:r w:rsidRPr="00D225CC">
        <w:rPr>
          <w:sz w:val="22"/>
          <w:szCs w:val="22"/>
          <w:lang w:val="en-GB"/>
        </w:rPr>
        <w:t xml:space="preserve"> to</w:t>
      </w:r>
      <w:r>
        <w:rPr>
          <w:sz w:val="22"/>
          <w:szCs w:val="22"/>
          <w:lang w:val="en-GB"/>
        </w:rPr>
        <w:t xml:space="preserve"> the premises of</w:t>
      </w:r>
      <w:r w:rsidRPr="00D225CC">
        <w:rPr>
          <w:sz w:val="22"/>
          <w:szCs w:val="22"/>
          <w:lang w:val="en-GB"/>
        </w:rPr>
        <w:t xml:space="preserve">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r w:rsidRPr="005A61EC">
        <w:rPr>
          <w:sz w:val="22"/>
          <w:szCs w:val="22"/>
          <w:lang w:val="en-GB"/>
        </w:rPr>
        <w:t xml:space="preserve"> </w:t>
      </w:r>
      <w:r w:rsidRPr="00D225CC">
        <w:rPr>
          <w:sz w:val="22"/>
          <w:szCs w:val="22"/>
          <w:lang w:val="en-GB"/>
        </w:rPr>
        <w:t xml:space="preserve">in return for a </w:t>
      </w:r>
      <w:r w:rsidRPr="00D225CC">
        <w:rPr>
          <w:rStyle w:val="Strong"/>
          <w:b w:val="0"/>
          <w:sz w:val="22"/>
          <w:szCs w:val="22"/>
          <w:lang w:val="en-GB"/>
        </w:rPr>
        <w:t>signed and dated receipt</w:t>
      </w:r>
      <w:r w:rsidRPr="005A61EC">
        <w:rPr>
          <w:sz w:val="22"/>
          <w:szCs w:val="22"/>
          <w:lang w:val="en-GB"/>
        </w:rPr>
        <w:t>, in which case the evid</w:t>
      </w:r>
      <w:r>
        <w:rPr>
          <w:sz w:val="22"/>
          <w:szCs w:val="22"/>
          <w:lang w:val="en-GB"/>
        </w:rPr>
        <w:t>ence shall be constituted by this</w:t>
      </w:r>
      <w:r w:rsidRPr="005A61EC">
        <w:rPr>
          <w:sz w:val="22"/>
          <w:szCs w:val="22"/>
          <w:lang w:val="en-GB"/>
        </w:rPr>
        <w:t xml:space="preserve"> acknowledgement of receipt</w:t>
      </w:r>
      <w:r>
        <w:rPr>
          <w:sz w:val="22"/>
          <w:szCs w:val="22"/>
          <w:lang w:val="en-GB"/>
        </w:rPr>
        <w:t>, to</w:t>
      </w:r>
      <w:r w:rsidRPr="00D225CC">
        <w:rPr>
          <w:sz w:val="22"/>
          <w:szCs w:val="22"/>
          <w:lang w:val="en-GB"/>
        </w:rPr>
        <w:t>:</w:t>
      </w:r>
    </w:p>
    <w:p w14:paraId="5B548A5C" w14:textId="77777777" w:rsidR="00E7091E" w:rsidRPr="003D5488" w:rsidRDefault="00E7091E" w:rsidP="00B65C2C">
      <w:pPr>
        <w:pStyle w:val="Blockquote"/>
        <w:spacing w:before="0" w:after="0"/>
        <w:ind w:left="720" w:right="28"/>
        <w:rPr>
          <w:b/>
          <w:bCs/>
          <w:sz w:val="22"/>
          <w:szCs w:val="22"/>
          <w:lang w:val="en-GB"/>
        </w:rPr>
      </w:pPr>
      <w:r w:rsidRPr="003D5488">
        <w:rPr>
          <w:b/>
          <w:bCs/>
          <w:sz w:val="22"/>
          <w:szCs w:val="22"/>
          <w:lang w:val="en-GB"/>
        </w:rPr>
        <w:t>Ministry of Environment and Physical Planning</w:t>
      </w:r>
    </w:p>
    <w:p w14:paraId="05215969" w14:textId="6B6FC345" w:rsidR="000870D4" w:rsidRDefault="000870D4" w:rsidP="00B65C2C">
      <w:pPr>
        <w:pStyle w:val="Blockquote"/>
        <w:spacing w:before="0" w:after="0"/>
        <w:ind w:left="720" w:right="28"/>
        <w:rPr>
          <w:b/>
          <w:bCs/>
          <w:sz w:val="22"/>
          <w:szCs w:val="22"/>
          <w:lang w:val="en-GB"/>
        </w:rPr>
      </w:pPr>
      <w:r w:rsidRPr="003D5488">
        <w:rPr>
          <w:b/>
          <w:bCs/>
          <w:sz w:val="22"/>
          <w:szCs w:val="22"/>
          <w:lang w:val="en-GB"/>
        </w:rPr>
        <w:t>Department Macedonian Environmental Information Centre</w:t>
      </w:r>
    </w:p>
    <w:p w14:paraId="554CC94E" w14:textId="5917E7B8" w:rsidR="00E7091E" w:rsidRPr="003D5488" w:rsidRDefault="00E7091E" w:rsidP="00B65C2C">
      <w:pPr>
        <w:pStyle w:val="Blockquote"/>
        <w:spacing w:before="0" w:after="0"/>
        <w:ind w:left="720" w:right="28"/>
        <w:rPr>
          <w:b/>
          <w:bCs/>
          <w:sz w:val="22"/>
          <w:szCs w:val="22"/>
          <w:lang w:val="en-GB"/>
        </w:rPr>
      </w:pPr>
      <w:r w:rsidRPr="003D5488">
        <w:rPr>
          <w:b/>
          <w:bCs/>
          <w:sz w:val="22"/>
          <w:szCs w:val="22"/>
          <w:lang w:val="en-GB"/>
        </w:rPr>
        <w:t xml:space="preserve">Square </w:t>
      </w:r>
      <w:proofErr w:type="spellStart"/>
      <w:r w:rsidRPr="003D5488">
        <w:rPr>
          <w:b/>
          <w:bCs/>
          <w:sz w:val="22"/>
          <w:szCs w:val="22"/>
          <w:lang w:val="en-GB"/>
        </w:rPr>
        <w:t>Presveta</w:t>
      </w:r>
      <w:proofErr w:type="spellEnd"/>
      <w:r w:rsidRPr="003D5488">
        <w:rPr>
          <w:b/>
          <w:bCs/>
          <w:sz w:val="22"/>
          <w:szCs w:val="22"/>
          <w:lang w:val="en-GB"/>
        </w:rPr>
        <w:t xml:space="preserve"> </w:t>
      </w:r>
      <w:proofErr w:type="spellStart"/>
      <w:r w:rsidRPr="003D5488">
        <w:rPr>
          <w:b/>
          <w:bCs/>
          <w:sz w:val="22"/>
          <w:szCs w:val="22"/>
          <w:lang w:val="en-GB"/>
        </w:rPr>
        <w:t>Bogorodica</w:t>
      </w:r>
      <w:proofErr w:type="spellEnd"/>
      <w:r w:rsidRPr="003D5488">
        <w:rPr>
          <w:b/>
          <w:bCs/>
          <w:sz w:val="22"/>
          <w:szCs w:val="22"/>
          <w:lang w:val="en-GB"/>
        </w:rPr>
        <w:t xml:space="preserve"> no. 3</w:t>
      </w:r>
    </w:p>
    <w:p w14:paraId="7DD3A606" w14:textId="77777777" w:rsidR="00E7091E" w:rsidRPr="003D5488" w:rsidRDefault="00E7091E" w:rsidP="00B65C2C">
      <w:pPr>
        <w:pStyle w:val="Blockquote"/>
        <w:spacing w:before="0" w:after="0"/>
        <w:ind w:left="720" w:right="28"/>
        <w:rPr>
          <w:b/>
          <w:bCs/>
          <w:sz w:val="22"/>
          <w:szCs w:val="22"/>
          <w:lang w:val="en-GB"/>
        </w:rPr>
      </w:pPr>
      <w:r w:rsidRPr="003D5488">
        <w:rPr>
          <w:b/>
          <w:bCs/>
          <w:sz w:val="22"/>
          <w:szCs w:val="22"/>
          <w:lang w:val="en-GB"/>
        </w:rPr>
        <w:t>1000 Skopje, Republic of North Macedonia</w:t>
      </w:r>
    </w:p>
    <w:p w14:paraId="3B953B93" w14:textId="49C3A2C6" w:rsidR="0023457E" w:rsidRDefault="00E7091E" w:rsidP="00B65C2C">
      <w:pPr>
        <w:pStyle w:val="Blockquote"/>
        <w:spacing w:before="0" w:after="0"/>
        <w:ind w:left="720" w:right="28"/>
        <w:rPr>
          <w:sz w:val="22"/>
          <w:szCs w:val="22"/>
          <w:highlight w:val="yellow"/>
          <w:lang w:val="en-GB"/>
        </w:rPr>
      </w:pPr>
      <w:r w:rsidRPr="003D5488">
        <w:rPr>
          <w:b/>
          <w:bCs/>
          <w:sz w:val="22"/>
          <w:szCs w:val="22"/>
          <w:lang w:val="en-GB"/>
        </w:rPr>
        <w:t>Working hours: Monday to Friday, 08:00 to 16:00 hours local time</w:t>
      </w:r>
      <w:r w:rsidR="0023457E" w:rsidRPr="00D225CC">
        <w:rPr>
          <w:rStyle w:val="Emphasis"/>
          <w:sz w:val="22"/>
          <w:szCs w:val="22"/>
          <w:lang w:val="en-GB"/>
        </w:rPr>
        <w:br/>
      </w:r>
    </w:p>
    <w:p w14:paraId="1F2F9D32" w14:textId="77777777" w:rsidR="000B39AD" w:rsidRPr="00D225CC" w:rsidRDefault="000B39AD" w:rsidP="000B39AD">
      <w:pPr>
        <w:pStyle w:val="Blockquote"/>
        <w:ind w:left="709" w:right="26"/>
        <w:jc w:val="both"/>
        <w:rPr>
          <w:sz w:val="22"/>
          <w:szCs w:val="22"/>
          <w:lang w:val="en-GB"/>
        </w:rPr>
      </w:pPr>
      <w:r w:rsidRPr="00D225CC">
        <w:rPr>
          <w:sz w:val="22"/>
          <w:szCs w:val="22"/>
          <w:lang w:val="en-GB"/>
        </w:rPr>
        <w:t xml:space="preserve">The </w:t>
      </w:r>
      <w:r>
        <w:rPr>
          <w:rStyle w:val="Strong"/>
          <w:b w:val="0"/>
          <w:sz w:val="22"/>
          <w:szCs w:val="22"/>
          <w:lang w:val="en-GB"/>
        </w:rPr>
        <w:t>c</w:t>
      </w:r>
      <w:r w:rsidRPr="00D225CC">
        <w:rPr>
          <w:rStyle w:val="Strong"/>
          <w:b w:val="0"/>
          <w:sz w:val="22"/>
          <w:szCs w:val="22"/>
          <w:lang w:val="en-GB"/>
        </w:rPr>
        <w:t>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w:t>
      </w:r>
      <w:r>
        <w:rPr>
          <w:sz w:val="22"/>
          <w:szCs w:val="22"/>
          <w:lang w:val="en-GB"/>
        </w:rPr>
        <w:t>elope containing the tender</w:t>
      </w:r>
      <w:r w:rsidRPr="00D225CC">
        <w:rPr>
          <w:sz w:val="22"/>
          <w:szCs w:val="22"/>
          <w:lang w:val="en-GB"/>
        </w:rPr>
        <w:t xml:space="preserve"> and must always be mentioned in all subsequent correspondence with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p>
    <w:p w14:paraId="00AE4EE0" w14:textId="77777777" w:rsidR="000B39AD" w:rsidRDefault="000B39AD" w:rsidP="000B39AD">
      <w:pPr>
        <w:pStyle w:val="Blockquote"/>
        <w:ind w:left="709" w:right="26"/>
        <w:jc w:val="both"/>
        <w:rPr>
          <w:rStyle w:val="Strong"/>
          <w:b w:val="0"/>
          <w:sz w:val="22"/>
          <w:szCs w:val="22"/>
          <w:lang w:val="en-GB"/>
        </w:rPr>
      </w:pPr>
      <w:r>
        <w:rPr>
          <w:rStyle w:val="Strong"/>
          <w:b w:val="0"/>
          <w:sz w:val="22"/>
          <w:szCs w:val="22"/>
          <w:lang w:val="en-GB"/>
        </w:rPr>
        <w:t>Tenders</w:t>
      </w:r>
      <w:r w:rsidRPr="00D225CC">
        <w:rPr>
          <w:rStyle w:val="Strong"/>
          <w:b w:val="0"/>
          <w:sz w:val="22"/>
          <w:szCs w:val="22"/>
          <w:lang w:val="en-GB"/>
        </w:rPr>
        <w:t xml:space="preserve"> submitted by any other means will not be considered.</w:t>
      </w:r>
    </w:p>
    <w:p w14:paraId="3A149455" w14:textId="77777777" w:rsidR="000B39AD" w:rsidRPr="001B57ED" w:rsidRDefault="000B39AD" w:rsidP="000B39AD">
      <w:pPr>
        <w:pStyle w:val="Blockquote"/>
        <w:ind w:left="709" w:right="26"/>
        <w:jc w:val="both"/>
        <w:rPr>
          <w:rStyle w:val="Strong"/>
          <w:b w:val="0"/>
          <w:sz w:val="22"/>
          <w:szCs w:val="22"/>
          <w:lang w:val="en-GB"/>
        </w:rPr>
      </w:pPr>
      <w:r>
        <w:rPr>
          <w:sz w:val="22"/>
          <w:szCs w:val="22"/>
        </w:rPr>
        <w:t xml:space="preserve">By submitting a tender </w:t>
      </w:r>
      <w:r w:rsidRPr="002E3EA3">
        <w:rPr>
          <w:sz w:val="22"/>
          <w:szCs w:val="22"/>
        </w:rPr>
        <w:t>candidates accept to receive notification of the outcome of the procedure by electronic means.</w:t>
      </w:r>
      <w:r w:rsidRPr="00856CE9">
        <w:t xml:space="preserve"> </w:t>
      </w:r>
      <w:r w:rsidRPr="00856CE9">
        <w:rPr>
          <w:sz w:val="22"/>
          <w:szCs w:val="22"/>
        </w:rPr>
        <w:t>Such notification shall be deemed to have been received on the date upon which the contracting authority sends it to the electronic addres</w:t>
      </w:r>
      <w:r>
        <w:rPr>
          <w:sz w:val="22"/>
          <w:szCs w:val="22"/>
        </w:rPr>
        <w:t>s referred to in the tender</w:t>
      </w:r>
      <w:r w:rsidRPr="00856CE9">
        <w:rPr>
          <w:sz w:val="22"/>
          <w:szCs w:val="22"/>
        </w:rPr>
        <w:t>.</w:t>
      </w:r>
    </w:p>
    <w:p w14:paraId="428B5A1F" w14:textId="77777777" w:rsidR="0023457E" w:rsidRPr="000B39AD" w:rsidRDefault="0023457E" w:rsidP="003319C5">
      <w:pPr>
        <w:pStyle w:val="Blockquote"/>
        <w:ind w:left="709" w:right="1"/>
        <w:rPr>
          <w:sz w:val="22"/>
          <w:szCs w:val="22"/>
          <w:lang w:val="en-GB"/>
        </w:rPr>
      </w:pPr>
    </w:p>
    <w:p w14:paraId="770D2303" w14:textId="77777777" w:rsidR="00E23824" w:rsidRDefault="00E23824" w:rsidP="00AC2A69">
      <w:pPr>
        <w:numPr>
          <w:ilvl w:val="0"/>
          <w:numId w:val="35"/>
        </w:numPr>
        <w:tabs>
          <w:tab w:val="clear" w:pos="644"/>
          <w:tab w:val="num" w:pos="709"/>
        </w:tabs>
        <w:ind w:left="709" w:right="1" w:hanging="425"/>
        <w:jc w:val="both"/>
        <w:outlineLvl w:val="0"/>
        <w:rPr>
          <w:rStyle w:val="Strong"/>
          <w:szCs w:val="24"/>
          <w:lang w:val="en-GB"/>
        </w:rPr>
      </w:pPr>
      <w:r w:rsidRPr="00A336A0">
        <w:rPr>
          <w:rStyle w:val="Strong"/>
          <w:szCs w:val="24"/>
          <w:lang w:val="en-GB"/>
        </w:rPr>
        <w:t>Tender opening session</w:t>
      </w:r>
    </w:p>
    <w:p w14:paraId="4E051C6E" w14:textId="2AB4DED8" w:rsidR="004D3B07" w:rsidRDefault="000870D4" w:rsidP="00B06EB4">
      <w:pPr>
        <w:pStyle w:val="Blockquote"/>
        <w:ind w:left="709" w:right="1"/>
        <w:jc w:val="both"/>
        <w:rPr>
          <w:sz w:val="22"/>
          <w:szCs w:val="22"/>
          <w:lang w:val="en-GB"/>
        </w:rPr>
      </w:pPr>
      <w:r w:rsidRPr="000870D4">
        <w:rPr>
          <w:b/>
          <w:bCs/>
          <w:sz w:val="22"/>
          <w:szCs w:val="22"/>
          <w:lang w:val="en-GB"/>
        </w:rPr>
        <w:t>17.03.2020 at 13:00 Local Time at the premises of</w:t>
      </w:r>
      <w:r>
        <w:rPr>
          <w:sz w:val="22"/>
          <w:szCs w:val="22"/>
          <w:lang w:val="en-GB"/>
        </w:rPr>
        <w:t>:</w:t>
      </w:r>
    </w:p>
    <w:p w14:paraId="352088FE" w14:textId="77777777" w:rsidR="00E7091E" w:rsidRPr="003D5488" w:rsidRDefault="00E7091E" w:rsidP="00E7091E">
      <w:pPr>
        <w:pStyle w:val="Blockquote"/>
        <w:spacing w:before="0" w:after="0"/>
        <w:ind w:left="720" w:right="28"/>
        <w:rPr>
          <w:b/>
          <w:bCs/>
          <w:sz w:val="22"/>
          <w:szCs w:val="22"/>
          <w:lang w:val="en-GB"/>
        </w:rPr>
      </w:pPr>
      <w:r w:rsidRPr="003D5488">
        <w:rPr>
          <w:b/>
          <w:bCs/>
          <w:sz w:val="22"/>
          <w:szCs w:val="22"/>
          <w:lang w:val="en-GB"/>
        </w:rPr>
        <w:t>Ministry of Environment and Physical Planning</w:t>
      </w:r>
    </w:p>
    <w:p w14:paraId="3C345ABB" w14:textId="77777777" w:rsidR="00E7091E" w:rsidRPr="003D5488" w:rsidRDefault="00E7091E" w:rsidP="00E7091E">
      <w:pPr>
        <w:pStyle w:val="Blockquote"/>
        <w:spacing w:before="0" w:after="0"/>
        <w:ind w:left="720" w:right="28"/>
        <w:rPr>
          <w:b/>
          <w:bCs/>
          <w:sz w:val="22"/>
          <w:szCs w:val="22"/>
          <w:lang w:val="en-GB"/>
        </w:rPr>
      </w:pPr>
      <w:r w:rsidRPr="003D5488">
        <w:rPr>
          <w:b/>
          <w:bCs/>
          <w:sz w:val="22"/>
          <w:szCs w:val="22"/>
          <w:lang w:val="en-GB"/>
        </w:rPr>
        <w:t xml:space="preserve">Square </w:t>
      </w:r>
      <w:proofErr w:type="spellStart"/>
      <w:r w:rsidRPr="003D5488">
        <w:rPr>
          <w:b/>
          <w:bCs/>
          <w:sz w:val="22"/>
          <w:szCs w:val="22"/>
          <w:lang w:val="en-GB"/>
        </w:rPr>
        <w:t>Presveta</w:t>
      </w:r>
      <w:proofErr w:type="spellEnd"/>
      <w:r w:rsidRPr="003D5488">
        <w:rPr>
          <w:b/>
          <w:bCs/>
          <w:sz w:val="22"/>
          <w:szCs w:val="22"/>
          <w:lang w:val="en-GB"/>
        </w:rPr>
        <w:t xml:space="preserve"> </w:t>
      </w:r>
      <w:proofErr w:type="spellStart"/>
      <w:r w:rsidRPr="003D5488">
        <w:rPr>
          <w:b/>
          <w:bCs/>
          <w:sz w:val="22"/>
          <w:szCs w:val="22"/>
          <w:lang w:val="en-GB"/>
        </w:rPr>
        <w:t>Bogorodica</w:t>
      </w:r>
      <w:proofErr w:type="spellEnd"/>
      <w:r w:rsidRPr="003D5488">
        <w:rPr>
          <w:b/>
          <w:bCs/>
          <w:sz w:val="22"/>
          <w:szCs w:val="22"/>
          <w:lang w:val="en-GB"/>
        </w:rPr>
        <w:t xml:space="preserve"> no. 3</w:t>
      </w:r>
    </w:p>
    <w:p w14:paraId="3F898556" w14:textId="77777777" w:rsidR="00E7091E" w:rsidRPr="003D5488" w:rsidRDefault="00E7091E" w:rsidP="00E7091E">
      <w:pPr>
        <w:pStyle w:val="Blockquote"/>
        <w:spacing w:before="0" w:after="0"/>
        <w:ind w:left="720" w:right="28"/>
        <w:rPr>
          <w:b/>
          <w:bCs/>
          <w:sz w:val="22"/>
          <w:szCs w:val="22"/>
          <w:lang w:val="en-GB"/>
        </w:rPr>
      </w:pPr>
      <w:r w:rsidRPr="003D5488">
        <w:rPr>
          <w:b/>
          <w:bCs/>
          <w:sz w:val="22"/>
          <w:szCs w:val="22"/>
          <w:lang w:val="en-GB"/>
        </w:rPr>
        <w:t>1000 Skopje, Republic of North Macedonia</w:t>
      </w:r>
    </w:p>
    <w:p w14:paraId="6888857C" w14:textId="77777777" w:rsidR="006E2496" w:rsidRPr="00DF6977" w:rsidRDefault="006E2496" w:rsidP="00B06EB4">
      <w:pPr>
        <w:ind w:left="709"/>
        <w:jc w:val="both"/>
        <w:rPr>
          <w:sz w:val="22"/>
          <w:lang w:val="en-GB"/>
        </w:rPr>
      </w:pPr>
      <w:r w:rsidRPr="00DF6977">
        <w:rPr>
          <w:sz w:val="22"/>
          <w:lang w:val="en-GB"/>
        </w:rPr>
        <w:t xml:space="preserve">In the case that at the date of the opening session </w:t>
      </w:r>
      <w:r w:rsidRPr="00BE3069">
        <w:rPr>
          <w:sz w:val="22"/>
          <w:lang w:val="en-IE"/>
        </w:rPr>
        <w:t>some</w:t>
      </w:r>
      <w:r w:rsidRPr="00DF6977">
        <w:rPr>
          <w:sz w:val="22"/>
          <w:lang w:val="en-IE"/>
        </w:rPr>
        <w:t xml:space="preserve"> tenders have not been delivered to the contracting authority</w:t>
      </w:r>
      <w:r w:rsidRPr="00DF6977">
        <w:rPr>
          <w:sz w:val="22"/>
          <w:lang w:val="en-GB"/>
        </w:rPr>
        <w:t xml:space="preserve"> but their represent</w:t>
      </w:r>
      <w:r>
        <w:rPr>
          <w:sz w:val="22"/>
          <w:lang w:val="en-GB"/>
        </w:rPr>
        <w:t>atives can show evidence that they have</w:t>
      </w:r>
      <w:r w:rsidRPr="00DF6977">
        <w:rPr>
          <w:sz w:val="22"/>
          <w:lang w:val="en-GB"/>
        </w:rPr>
        <w:t xml:space="preserve"> been sent on time, </w:t>
      </w:r>
      <w:r w:rsidRPr="00DF6977">
        <w:rPr>
          <w:sz w:val="22"/>
          <w:lang w:val="en-IE"/>
        </w:rPr>
        <w:t>the contracting authority will</w:t>
      </w:r>
      <w:r w:rsidRPr="00DF6977">
        <w:rPr>
          <w:sz w:val="22"/>
          <w:lang w:val="en-GB"/>
        </w:rPr>
        <w:t xml:space="preserve"> allow them to participate in the first opening session and inform all representatives of the tenderers that a second opening session will be organised.</w:t>
      </w:r>
    </w:p>
    <w:p w14:paraId="5875C2CF" w14:textId="77777777" w:rsidR="0021431B" w:rsidRPr="004D3B07" w:rsidRDefault="0021431B" w:rsidP="00AC2A69">
      <w:pPr>
        <w:numPr>
          <w:ilvl w:val="0"/>
          <w:numId w:val="35"/>
        </w:numPr>
        <w:tabs>
          <w:tab w:val="clear" w:pos="644"/>
          <w:tab w:val="num" w:pos="709"/>
        </w:tabs>
        <w:ind w:left="709" w:right="1" w:hanging="425"/>
        <w:jc w:val="both"/>
        <w:outlineLvl w:val="0"/>
        <w:rPr>
          <w:rStyle w:val="Strong"/>
          <w:szCs w:val="24"/>
          <w:lang w:val="en-GB"/>
        </w:rPr>
      </w:pPr>
      <w:r w:rsidRPr="004D3B07">
        <w:rPr>
          <w:rStyle w:val="Strong"/>
          <w:szCs w:val="24"/>
          <w:lang w:val="en-GB"/>
        </w:rPr>
        <w:t>Language of the procedure</w:t>
      </w:r>
    </w:p>
    <w:p w14:paraId="38BF5418" w14:textId="77777777" w:rsidR="0021431B" w:rsidRPr="003F1149" w:rsidRDefault="0021431B" w:rsidP="00AC2A69">
      <w:pPr>
        <w:pStyle w:val="Blockquote"/>
        <w:ind w:left="709" w:right="1"/>
        <w:jc w:val="both"/>
        <w:rPr>
          <w:i/>
          <w:sz w:val="22"/>
          <w:szCs w:val="22"/>
          <w:lang w:val="en-GB"/>
        </w:rPr>
      </w:pPr>
      <w:r w:rsidRPr="003F1149">
        <w:rPr>
          <w:rStyle w:val="Emphasis"/>
          <w:i w:val="0"/>
          <w:sz w:val="22"/>
          <w:szCs w:val="22"/>
          <w:lang w:val="en-GB"/>
        </w:rPr>
        <w:t>All written communications for this tender procedure and contract must be in English.</w:t>
      </w:r>
      <w:r w:rsidR="00F274BD">
        <w:rPr>
          <w:rStyle w:val="Emphasis"/>
          <w:i w:val="0"/>
          <w:sz w:val="22"/>
          <w:szCs w:val="22"/>
          <w:lang w:val="en-GB"/>
        </w:rPr>
        <w:t xml:space="preserve"> </w:t>
      </w:r>
    </w:p>
    <w:p w14:paraId="5B1C8AF1" w14:textId="5112E754" w:rsidR="00C66742" w:rsidRPr="00EE37CF" w:rsidRDefault="00E23824" w:rsidP="00EE37CF">
      <w:pPr>
        <w:numPr>
          <w:ilvl w:val="0"/>
          <w:numId w:val="35"/>
        </w:numPr>
        <w:tabs>
          <w:tab w:val="clear" w:pos="644"/>
          <w:tab w:val="num" w:pos="709"/>
        </w:tabs>
        <w:ind w:left="709" w:right="1" w:hanging="425"/>
        <w:jc w:val="both"/>
        <w:outlineLvl w:val="0"/>
        <w:rPr>
          <w:b/>
          <w:szCs w:val="24"/>
          <w:lang w:val="en-GB"/>
        </w:rPr>
      </w:pPr>
      <w:r w:rsidRPr="00A336A0">
        <w:rPr>
          <w:rStyle w:val="Strong"/>
          <w:szCs w:val="24"/>
          <w:lang w:val="en-GB"/>
        </w:rPr>
        <w:t>Legal basis</w:t>
      </w:r>
      <w:r w:rsidR="000E3C60">
        <w:rPr>
          <w:rStyle w:val="FootnoteReference"/>
          <w:b/>
          <w:szCs w:val="24"/>
          <w:lang w:val="en-GB"/>
        </w:rPr>
        <w:footnoteReference w:id="2"/>
      </w:r>
    </w:p>
    <w:p w14:paraId="75534AF6" w14:textId="4CA6BC3A" w:rsidR="007823D2" w:rsidRPr="00293E6A" w:rsidRDefault="007823D2" w:rsidP="007823D2">
      <w:pPr>
        <w:pStyle w:val="Blockquote"/>
        <w:ind w:left="709" w:right="26"/>
        <w:jc w:val="both"/>
        <w:rPr>
          <w:sz w:val="22"/>
          <w:szCs w:val="22"/>
          <w:lang w:eastAsia="ja-JP"/>
        </w:rPr>
      </w:pPr>
      <w:r w:rsidRPr="008E38AE">
        <w:rPr>
          <w:sz w:val="22"/>
          <w:szCs w:val="22"/>
          <w:lang w:eastAsia="ja-JP"/>
        </w:rPr>
        <w:t xml:space="preserve">Regulation (EU) N°236/2014 of the European Parliament and of the Council of 11 March 2014 laying down common rules and procedures for the implementation of the Union's instruments for financing external action and </w:t>
      </w:r>
      <w:r>
        <w:rPr>
          <w:sz w:val="22"/>
          <w:szCs w:val="22"/>
          <w:lang w:eastAsia="ja-JP"/>
        </w:rPr>
        <w:t>Regulation (EU) N</w:t>
      </w:r>
      <w:r w:rsidRPr="008E38AE">
        <w:rPr>
          <w:sz w:val="22"/>
          <w:szCs w:val="22"/>
          <w:lang w:eastAsia="ja-JP"/>
        </w:rPr>
        <w:t xml:space="preserve">0 </w:t>
      </w:r>
      <w:r>
        <w:rPr>
          <w:sz w:val="22"/>
          <w:szCs w:val="22"/>
          <w:lang w:eastAsia="ja-JP"/>
        </w:rPr>
        <w:t>231/2014 of the European Parliament and of the Council of 11 March 2014 establishing and Instrument for Pre-accession Assistance (IPA II), (OJ L 77, 15 March 2014).</w:t>
      </w:r>
    </w:p>
    <w:p w14:paraId="082CBA9A" w14:textId="36FF53A7" w:rsidR="007823D2" w:rsidRDefault="007823D2" w:rsidP="00AC2A69">
      <w:pPr>
        <w:pStyle w:val="Blockquote"/>
        <w:spacing w:before="120" w:after="0"/>
        <w:ind w:left="644" w:right="1"/>
        <w:jc w:val="both"/>
        <w:rPr>
          <w:sz w:val="22"/>
          <w:szCs w:val="22"/>
        </w:rPr>
      </w:pPr>
    </w:p>
    <w:p w14:paraId="50537B83" w14:textId="77777777" w:rsidR="00F964EE" w:rsidRPr="00A336A0" w:rsidRDefault="00F964EE" w:rsidP="00AC2A69">
      <w:pPr>
        <w:numPr>
          <w:ilvl w:val="0"/>
          <w:numId w:val="35"/>
        </w:numPr>
        <w:tabs>
          <w:tab w:val="clear" w:pos="644"/>
          <w:tab w:val="num" w:pos="709"/>
        </w:tabs>
        <w:ind w:left="709" w:right="1" w:hanging="425"/>
        <w:jc w:val="both"/>
        <w:outlineLvl w:val="0"/>
        <w:rPr>
          <w:rStyle w:val="Strong"/>
          <w:szCs w:val="24"/>
          <w:lang w:val="en-GB"/>
        </w:rPr>
      </w:pPr>
      <w:r>
        <w:rPr>
          <w:rStyle w:val="Strong"/>
          <w:szCs w:val="24"/>
          <w:lang w:val="en-GB"/>
        </w:rPr>
        <w:t>Additional information</w:t>
      </w:r>
      <w:bookmarkStart w:id="6" w:name="_GoBack"/>
      <w:bookmarkEnd w:id="6"/>
    </w:p>
    <w:p w14:paraId="508F56C9" w14:textId="233CD3CC" w:rsidR="007823D2" w:rsidRPr="00B3128F" w:rsidRDefault="00886BAC" w:rsidP="007823D2">
      <w:pPr>
        <w:widowControl/>
        <w:snapToGrid w:val="0"/>
        <w:spacing w:after="0"/>
        <w:ind w:left="644" w:right="360"/>
        <w:jc w:val="both"/>
        <w:rPr>
          <w:sz w:val="22"/>
          <w:szCs w:val="22"/>
          <w:lang w:val="en-GB"/>
        </w:rPr>
      </w:pPr>
      <w:r w:rsidRPr="00B3128F">
        <w:rPr>
          <w:sz w:val="22"/>
          <w:szCs w:val="22"/>
          <w:lang w:val="en-GB"/>
        </w:rPr>
        <w:t xml:space="preserve">Financial data to be provided by the </w:t>
      </w:r>
      <w:r w:rsidR="00DE0424" w:rsidRPr="00B3128F">
        <w:rPr>
          <w:sz w:val="22"/>
          <w:szCs w:val="22"/>
          <w:lang w:val="en-GB"/>
        </w:rPr>
        <w:t>tenderer</w:t>
      </w:r>
      <w:r w:rsidRPr="00B3128F">
        <w:rPr>
          <w:sz w:val="22"/>
          <w:szCs w:val="22"/>
          <w:lang w:val="en-GB"/>
        </w:rPr>
        <w:t xml:space="preserve"> in the standard tender form must be expressed in </w:t>
      </w:r>
      <w:r w:rsidRPr="00B65C2C">
        <w:rPr>
          <w:sz w:val="22"/>
          <w:szCs w:val="22"/>
          <w:lang w:val="en-GB"/>
        </w:rPr>
        <w:t>EUR</w:t>
      </w:r>
      <w:r w:rsidR="00EE37CF">
        <w:rPr>
          <w:sz w:val="22"/>
          <w:szCs w:val="22"/>
          <w:lang w:val="en-GB"/>
        </w:rPr>
        <w:t>.</w:t>
      </w:r>
      <w:r w:rsidR="007823D2">
        <w:rPr>
          <w:sz w:val="22"/>
          <w:szCs w:val="22"/>
          <w:lang w:val="en-GB"/>
        </w:rPr>
        <w:t xml:space="preserve"> </w:t>
      </w:r>
      <w:r w:rsidR="007823D2" w:rsidRPr="00B3128F">
        <w:rPr>
          <w:sz w:val="22"/>
          <w:szCs w:val="22"/>
          <w:lang w:val="en-GB"/>
        </w:rPr>
        <w:t>If applicable, where a candidate refers to amounts originally expressed in a different currency, the conversion to</w:t>
      </w:r>
      <w:r w:rsidR="007823D2">
        <w:rPr>
          <w:sz w:val="22"/>
          <w:szCs w:val="22"/>
          <w:lang w:val="en-GB"/>
        </w:rPr>
        <w:t xml:space="preserve"> EUR </w:t>
      </w:r>
      <w:r w:rsidR="007823D2" w:rsidRPr="00B3128F">
        <w:rPr>
          <w:sz w:val="22"/>
          <w:szCs w:val="22"/>
          <w:lang w:val="en-GB"/>
        </w:rPr>
        <w:t xml:space="preserve">shall be made in accordance with the </w:t>
      </w:r>
      <w:proofErr w:type="spellStart"/>
      <w:r w:rsidR="007823D2" w:rsidRPr="00B3128F">
        <w:rPr>
          <w:sz w:val="22"/>
          <w:szCs w:val="22"/>
          <w:lang w:val="en-GB"/>
        </w:rPr>
        <w:t>InforEuro</w:t>
      </w:r>
      <w:proofErr w:type="spellEnd"/>
      <w:r w:rsidR="007823D2" w:rsidRPr="00B3128F">
        <w:rPr>
          <w:sz w:val="22"/>
          <w:szCs w:val="22"/>
          <w:lang w:val="en-GB"/>
        </w:rPr>
        <w:t xml:space="preserve"> exchange rate of</w:t>
      </w:r>
      <w:r w:rsidR="007823D2">
        <w:rPr>
          <w:sz w:val="22"/>
          <w:szCs w:val="22"/>
          <w:lang w:val="en-GB"/>
        </w:rPr>
        <w:t xml:space="preserve"> </w:t>
      </w:r>
      <w:r w:rsidR="007823D2" w:rsidRPr="007823D2">
        <w:rPr>
          <w:sz w:val="22"/>
          <w:szCs w:val="22"/>
          <w:lang w:val="en-GB"/>
        </w:rPr>
        <w:t>month and year of the deadline for submitting applications</w:t>
      </w:r>
      <w:r w:rsidR="007823D2">
        <w:rPr>
          <w:sz w:val="22"/>
          <w:szCs w:val="22"/>
          <w:lang w:val="en-GB"/>
        </w:rPr>
        <w:t xml:space="preserve">, </w:t>
      </w:r>
      <w:r w:rsidR="007823D2" w:rsidRPr="00B3128F">
        <w:rPr>
          <w:sz w:val="22"/>
          <w:szCs w:val="22"/>
          <w:lang w:val="en-GB"/>
        </w:rPr>
        <w:t xml:space="preserve">which can be found at the following address: </w:t>
      </w:r>
      <w:hyperlink r:id="rId14" w:history="1">
        <w:r w:rsidR="007823D2" w:rsidRPr="00B3128F">
          <w:rPr>
            <w:rStyle w:val="Hyperlink"/>
            <w:sz w:val="22"/>
            <w:szCs w:val="22"/>
            <w:lang w:val="en-GB"/>
          </w:rPr>
          <w:t>http://ec.europa.eu/budget/graphs/inforeuro.html</w:t>
        </w:r>
      </w:hyperlink>
      <w:r w:rsidR="007823D2" w:rsidRPr="00B3128F">
        <w:rPr>
          <w:sz w:val="22"/>
          <w:szCs w:val="22"/>
          <w:lang w:val="en-GB"/>
        </w:rPr>
        <w:t>.</w:t>
      </w:r>
    </w:p>
    <w:p w14:paraId="77554542" w14:textId="31CE408E" w:rsidR="00F964EE" w:rsidRPr="00F964EE" w:rsidRDefault="00F964EE" w:rsidP="00B65C2C">
      <w:pPr>
        <w:widowControl/>
        <w:snapToGrid w:val="0"/>
        <w:spacing w:after="0"/>
        <w:ind w:left="644" w:right="360"/>
        <w:jc w:val="both"/>
        <w:rPr>
          <w:sz w:val="22"/>
          <w:szCs w:val="22"/>
          <w:lang w:val="en-GB"/>
        </w:rPr>
      </w:pPr>
    </w:p>
    <w:sectPr w:rsidR="00F964EE" w:rsidRPr="00F964EE" w:rsidSect="00F56B40">
      <w:footerReference w:type="even" r:id="rId15"/>
      <w:footerReference w:type="default" r:id="rId16"/>
      <w:pgSz w:w="11907" w:h="16839" w:code="9"/>
      <w:pgMar w:top="993" w:right="1417"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03E6E" w14:textId="77777777" w:rsidR="000860DD" w:rsidRDefault="000860DD">
      <w:r>
        <w:separator/>
      </w:r>
    </w:p>
  </w:endnote>
  <w:endnote w:type="continuationSeparator" w:id="0">
    <w:p w14:paraId="4B6AFD6B" w14:textId="77777777" w:rsidR="000860DD" w:rsidRDefault="0008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8A0F" w14:textId="77777777" w:rsidR="00E1322F" w:rsidRDefault="00E1322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B3481A" w14:textId="77777777" w:rsidR="00E1322F" w:rsidRDefault="00E1322F" w:rsidP="00AA67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27747" w14:textId="77777777" w:rsidR="00E1322F" w:rsidRPr="002116E1" w:rsidRDefault="00A6510E" w:rsidP="00F274BD">
    <w:pPr>
      <w:pStyle w:val="Footer"/>
      <w:tabs>
        <w:tab w:val="clear" w:pos="4536"/>
      </w:tabs>
      <w:spacing w:after="0"/>
      <w:ind w:right="357"/>
      <w:rPr>
        <w:sz w:val="18"/>
        <w:szCs w:val="18"/>
        <w:lang w:val="en-GB"/>
      </w:rPr>
    </w:pPr>
    <w:r>
      <w:rPr>
        <w:b/>
        <w:sz w:val="18"/>
        <w:lang w:val="en-GB"/>
      </w:rPr>
      <w:t>July</w:t>
    </w:r>
    <w:r w:rsidR="00ED6577">
      <w:rPr>
        <w:b/>
        <w:sz w:val="18"/>
        <w:szCs w:val="18"/>
        <w:lang w:val="en-GB"/>
      </w:rPr>
      <w:t xml:space="preserve"> 201</w:t>
    </w:r>
    <w:r>
      <w:rPr>
        <w:b/>
        <w:sz w:val="18"/>
        <w:szCs w:val="18"/>
        <w:lang w:val="en-GB"/>
      </w:rPr>
      <w:t>9</w:t>
    </w:r>
    <w:r w:rsidR="00E1322F" w:rsidRPr="002116E1">
      <w:rPr>
        <w:sz w:val="18"/>
        <w:szCs w:val="18"/>
        <w:lang w:val="en-GB"/>
      </w:rPr>
      <w:tab/>
      <w:t xml:space="preserve">Page </w:t>
    </w:r>
    <w:r w:rsidR="00E1322F" w:rsidRPr="00D30AC2">
      <w:rPr>
        <w:sz w:val="18"/>
        <w:szCs w:val="18"/>
        <w:lang w:val="fr-BE"/>
      </w:rPr>
      <w:fldChar w:fldCharType="begin"/>
    </w:r>
    <w:r w:rsidR="00E1322F" w:rsidRPr="002116E1">
      <w:rPr>
        <w:sz w:val="18"/>
        <w:szCs w:val="18"/>
        <w:lang w:val="en-GB"/>
      </w:rPr>
      <w:instrText xml:space="preserve"> PAGE </w:instrText>
    </w:r>
    <w:r w:rsidR="00E1322F" w:rsidRPr="00D30AC2">
      <w:rPr>
        <w:sz w:val="18"/>
        <w:szCs w:val="18"/>
        <w:lang w:val="fr-BE"/>
      </w:rPr>
      <w:fldChar w:fldCharType="separate"/>
    </w:r>
    <w:r w:rsidR="00E078B6">
      <w:rPr>
        <w:noProof/>
        <w:sz w:val="18"/>
        <w:szCs w:val="18"/>
        <w:lang w:val="en-GB"/>
      </w:rPr>
      <w:t>5</w:t>
    </w:r>
    <w:r w:rsidR="00E1322F" w:rsidRPr="00D30AC2">
      <w:rPr>
        <w:sz w:val="18"/>
        <w:szCs w:val="18"/>
        <w:lang w:val="fr-BE"/>
      </w:rPr>
      <w:fldChar w:fldCharType="end"/>
    </w:r>
    <w:r w:rsidR="00E1322F" w:rsidRPr="002116E1">
      <w:rPr>
        <w:sz w:val="18"/>
        <w:szCs w:val="18"/>
        <w:lang w:val="en-GB"/>
      </w:rPr>
      <w:t xml:space="preserve"> of </w:t>
    </w:r>
    <w:r w:rsidR="00E1322F" w:rsidRPr="00D30AC2">
      <w:rPr>
        <w:sz w:val="18"/>
        <w:szCs w:val="18"/>
        <w:lang w:val="fr-BE"/>
      </w:rPr>
      <w:fldChar w:fldCharType="begin"/>
    </w:r>
    <w:r w:rsidR="00E1322F" w:rsidRPr="002116E1">
      <w:rPr>
        <w:sz w:val="18"/>
        <w:szCs w:val="18"/>
        <w:lang w:val="en-GB"/>
      </w:rPr>
      <w:instrText xml:space="preserve"> NUMPAGES </w:instrText>
    </w:r>
    <w:r w:rsidR="00E1322F" w:rsidRPr="00D30AC2">
      <w:rPr>
        <w:sz w:val="18"/>
        <w:szCs w:val="18"/>
        <w:lang w:val="fr-BE"/>
      </w:rPr>
      <w:fldChar w:fldCharType="separate"/>
    </w:r>
    <w:r w:rsidR="00E078B6">
      <w:rPr>
        <w:noProof/>
        <w:sz w:val="18"/>
        <w:szCs w:val="18"/>
        <w:lang w:val="en-GB"/>
      </w:rPr>
      <w:t>5</w:t>
    </w:r>
    <w:r w:rsidR="00E1322F" w:rsidRPr="00D30AC2">
      <w:rPr>
        <w:sz w:val="18"/>
        <w:szCs w:val="18"/>
        <w:lang w:val="fr-BE"/>
      </w:rPr>
      <w:fldChar w:fldCharType="end"/>
    </w:r>
  </w:p>
  <w:p w14:paraId="54F6C6B8" w14:textId="77777777" w:rsidR="00E1322F" w:rsidRPr="002116E1" w:rsidRDefault="00E1322F" w:rsidP="00F274BD">
    <w:pPr>
      <w:pStyle w:val="Footer"/>
      <w:tabs>
        <w:tab w:val="clear" w:pos="4536"/>
      </w:tabs>
      <w:spacing w:before="0"/>
      <w:ind w:right="357"/>
      <w:rPr>
        <w:sz w:val="18"/>
        <w:szCs w:val="18"/>
        <w:lang w:val="en-GB"/>
      </w:rPr>
    </w:pPr>
    <w:r w:rsidRPr="003238B8">
      <w:rPr>
        <w:sz w:val="18"/>
        <w:szCs w:val="18"/>
        <w:lang w:val="fr-BE"/>
      </w:rPr>
      <w:fldChar w:fldCharType="begin"/>
    </w:r>
    <w:r w:rsidRPr="002116E1">
      <w:rPr>
        <w:sz w:val="18"/>
        <w:szCs w:val="18"/>
        <w:lang w:val="en-GB"/>
      </w:rPr>
      <w:instrText xml:space="preserve"> FILENAME </w:instrText>
    </w:r>
    <w:r w:rsidRPr="003238B8">
      <w:rPr>
        <w:sz w:val="18"/>
        <w:szCs w:val="18"/>
        <w:lang w:val="fr-BE"/>
      </w:rPr>
      <w:fldChar w:fldCharType="separate"/>
    </w:r>
    <w:r w:rsidR="00F47035">
      <w:rPr>
        <w:noProof/>
        <w:sz w:val="18"/>
        <w:szCs w:val="18"/>
        <w:lang w:val="en-GB"/>
      </w:rPr>
      <w:t>c2_contractnotice_en.doc</w:t>
    </w:r>
    <w:r w:rsidRPr="003238B8">
      <w:rPr>
        <w:sz w:val="18"/>
        <w:szCs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C408D" w14:textId="77777777" w:rsidR="000860DD" w:rsidRDefault="000860DD" w:rsidP="00BC3FD0">
      <w:pPr>
        <w:spacing w:before="0" w:after="0"/>
      </w:pPr>
      <w:r>
        <w:separator/>
      </w:r>
    </w:p>
  </w:footnote>
  <w:footnote w:type="continuationSeparator" w:id="0">
    <w:p w14:paraId="1EE5538C" w14:textId="77777777" w:rsidR="000860DD" w:rsidRDefault="000860DD">
      <w:r>
        <w:continuationSeparator/>
      </w:r>
    </w:p>
  </w:footnote>
  <w:footnote w:id="1">
    <w:p w14:paraId="5F14B6C6" w14:textId="77777777" w:rsidR="0023457E" w:rsidRPr="00B50F3D" w:rsidRDefault="0023457E" w:rsidP="0023457E">
      <w:pPr>
        <w:pStyle w:val="FootnoteText"/>
        <w:rPr>
          <w:lang w:val="en-GB"/>
        </w:rPr>
      </w:pPr>
      <w:r>
        <w:rPr>
          <w:rStyle w:val="FootnoteReference"/>
        </w:rPr>
        <w:footnoteRef/>
      </w:r>
      <w:r>
        <w:t xml:space="preserve"> </w:t>
      </w:r>
      <w:r w:rsidRPr="00B50F3D">
        <w:rPr>
          <w:lang w:val="en-GB"/>
        </w:rPr>
        <w:t>It is recommended to use registered mail in case the postmark would not be readable.</w:t>
      </w:r>
    </w:p>
  </w:footnote>
  <w:footnote w:id="2">
    <w:p w14:paraId="38B4B288" w14:textId="77777777" w:rsidR="000E3C60" w:rsidRPr="000F28BC" w:rsidRDefault="000E3C60" w:rsidP="00BC3FD0">
      <w:pPr>
        <w:pStyle w:val="FootnoteText"/>
        <w:rPr>
          <w:lang w:val="en-GB"/>
        </w:rPr>
      </w:pPr>
      <w:r>
        <w:rPr>
          <w:rStyle w:val="FootnoteReference"/>
        </w:rPr>
        <w:footnoteRef/>
      </w:r>
      <w:r w:rsidR="00BC3FD0">
        <w:t xml:space="preserve"> </w:t>
      </w:r>
      <w: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76B35C8"/>
    <w:multiLevelType w:val="hybridMultilevel"/>
    <w:tmpl w:val="CE2852A0"/>
    <w:lvl w:ilvl="0" w:tplc="4A52A5B6">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15:restartNumberingAfterBreak="0">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2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5906AE5"/>
    <w:multiLevelType w:val="hybridMultilevel"/>
    <w:tmpl w:val="B60A28D6"/>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1"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6F07D7B"/>
    <w:multiLevelType w:val="hybridMultilevel"/>
    <w:tmpl w:val="5BB0D7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4"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6"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284688D"/>
    <w:multiLevelType w:val="multilevel"/>
    <w:tmpl w:val="E0DE28C0"/>
    <w:lvl w:ilvl="0">
      <w:start w:val="1"/>
      <w:numFmt w:val="decimal"/>
      <w:pStyle w:val="Heading2"/>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Heading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8" w15:restartNumberingAfterBreak="0">
    <w:nsid w:val="72AD30A0"/>
    <w:multiLevelType w:val="hybridMultilevel"/>
    <w:tmpl w:val="32B6D22C"/>
    <w:lvl w:ilvl="0" w:tplc="F65E3510">
      <w:start w:val="2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9" w15:restartNumberingAfterBreak="0">
    <w:nsid w:val="7EE854D3"/>
    <w:multiLevelType w:val="hybridMultilevel"/>
    <w:tmpl w:val="B19AE336"/>
    <w:lvl w:ilvl="0" w:tplc="7FA0BE6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FD5699E"/>
    <w:multiLevelType w:val="hybridMultilevel"/>
    <w:tmpl w:val="D8B4F0AA"/>
    <w:lvl w:ilvl="0" w:tplc="4E90562A">
      <w:start w:val="1"/>
      <w:numFmt w:val="lowerLetter"/>
      <w:lvlText w:val="%1)"/>
      <w:lvlJc w:val="left"/>
      <w:pPr>
        <w:ind w:left="1800" w:hanging="360"/>
      </w:pPr>
      <w:rPr>
        <w:sz w:val="22"/>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36"/>
  </w:num>
  <w:num w:numId="28">
    <w:abstractNumId w:val="29"/>
  </w:num>
  <w:num w:numId="29">
    <w:abstractNumId w:val="28"/>
  </w:num>
  <w:num w:numId="30">
    <w:abstractNumId w:val="31"/>
  </w:num>
  <w:num w:numId="31">
    <w:abstractNumId w:val="0"/>
    <w:lvlOverride w:ilvl="0">
      <w:lvl w:ilvl="0">
        <w:numFmt w:val="bullet"/>
        <w:lvlText w:val=""/>
        <w:legacy w:legacy="1" w:legacySpace="0" w:legacyIndent="360"/>
        <w:lvlJc w:val="left"/>
        <w:pPr>
          <w:ind w:left="0" w:hanging="360"/>
        </w:pPr>
        <w:rPr>
          <w:rFonts w:ascii="Symbol" w:hAnsi="Symbol" w:hint="default"/>
        </w:rPr>
      </w:lvl>
    </w:lvlOverride>
  </w:num>
  <w:num w:numId="32">
    <w:abstractNumId w:val="33"/>
  </w:num>
  <w:num w:numId="33">
    <w:abstractNumId w:val="30"/>
  </w:num>
  <w:num w:numId="34">
    <w:abstractNumId w:val="27"/>
  </w:num>
  <w:num w:numId="35">
    <w:abstractNumId w:val="34"/>
  </w:num>
  <w:num w:numId="36">
    <w:abstractNumId w:val="38"/>
  </w:num>
  <w:num w:numId="37">
    <w:abstractNumId w:val="32"/>
  </w:num>
  <w:num w:numId="38">
    <w:abstractNumId w:val="35"/>
  </w:num>
  <w:num w:numId="39">
    <w:abstractNumId w:val="37"/>
  </w:num>
  <w:num w:numId="40">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41">
    <w:abstractNumId w:val="4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A1583"/>
    <w:rsid w:val="00001274"/>
    <w:rsid w:val="00003B9B"/>
    <w:rsid w:val="000052CE"/>
    <w:rsid w:val="00013673"/>
    <w:rsid w:val="00016EFF"/>
    <w:rsid w:val="000170E4"/>
    <w:rsid w:val="00021ECF"/>
    <w:rsid w:val="00025A4F"/>
    <w:rsid w:val="000262F9"/>
    <w:rsid w:val="00026520"/>
    <w:rsid w:val="000276DD"/>
    <w:rsid w:val="00027794"/>
    <w:rsid w:val="00030E59"/>
    <w:rsid w:val="0003151B"/>
    <w:rsid w:val="00036B32"/>
    <w:rsid w:val="000409ED"/>
    <w:rsid w:val="00043976"/>
    <w:rsid w:val="0004450C"/>
    <w:rsid w:val="000479E1"/>
    <w:rsid w:val="000500E4"/>
    <w:rsid w:val="00050593"/>
    <w:rsid w:val="00051E48"/>
    <w:rsid w:val="00060BBE"/>
    <w:rsid w:val="00065477"/>
    <w:rsid w:val="00067B8A"/>
    <w:rsid w:val="00071260"/>
    <w:rsid w:val="0007206C"/>
    <w:rsid w:val="000739E4"/>
    <w:rsid w:val="000860DD"/>
    <w:rsid w:val="000870D4"/>
    <w:rsid w:val="00093192"/>
    <w:rsid w:val="000B39AD"/>
    <w:rsid w:val="000B3E45"/>
    <w:rsid w:val="000B6767"/>
    <w:rsid w:val="000B76C2"/>
    <w:rsid w:val="000C78B5"/>
    <w:rsid w:val="000D1202"/>
    <w:rsid w:val="000D33A8"/>
    <w:rsid w:val="000D53D0"/>
    <w:rsid w:val="000E3C60"/>
    <w:rsid w:val="000E6F0A"/>
    <w:rsid w:val="000E7EBB"/>
    <w:rsid w:val="000F2109"/>
    <w:rsid w:val="000F28BC"/>
    <w:rsid w:val="000F7479"/>
    <w:rsid w:val="0010079C"/>
    <w:rsid w:val="001113A9"/>
    <w:rsid w:val="00111B24"/>
    <w:rsid w:val="00113EC8"/>
    <w:rsid w:val="00120724"/>
    <w:rsid w:val="001209A2"/>
    <w:rsid w:val="0012104D"/>
    <w:rsid w:val="00131A8C"/>
    <w:rsid w:val="0013395D"/>
    <w:rsid w:val="00140C26"/>
    <w:rsid w:val="0014779C"/>
    <w:rsid w:val="00163046"/>
    <w:rsid w:val="001709FB"/>
    <w:rsid w:val="00172F51"/>
    <w:rsid w:val="001738C1"/>
    <w:rsid w:val="0018409D"/>
    <w:rsid w:val="00196D65"/>
    <w:rsid w:val="00197522"/>
    <w:rsid w:val="001A625B"/>
    <w:rsid w:val="001B6522"/>
    <w:rsid w:val="001C60D3"/>
    <w:rsid w:val="001C6E72"/>
    <w:rsid w:val="001C6EF5"/>
    <w:rsid w:val="001D3391"/>
    <w:rsid w:val="001D3C3E"/>
    <w:rsid w:val="001D63EB"/>
    <w:rsid w:val="001D65DB"/>
    <w:rsid w:val="001E1C04"/>
    <w:rsid w:val="001E2E7F"/>
    <w:rsid w:val="001E606D"/>
    <w:rsid w:val="001E7B40"/>
    <w:rsid w:val="0020037B"/>
    <w:rsid w:val="00201DD4"/>
    <w:rsid w:val="00203C3D"/>
    <w:rsid w:val="00207B5C"/>
    <w:rsid w:val="002116E1"/>
    <w:rsid w:val="0021431B"/>
    <w:rsid w:val="00216908"/>
    <w:rsid w:val="00222C7E"/>
    <w:rsid w:val="002243D8"/>
    <w:rsid w:val="0022558F"/>
    <w:rsid w:val="00226AAC"/>
    <w:rsid w:val="0023457E"/>
    <w:rsid w:val="00234EC1"/>
    <w:rsid w:val="00236399"/>
    <w:rsid w:val="0024766C"/>
    <w:rsid w:val="00247CE9"/>
    <w:rsid w:val="00265345"/>
    <w:rsid w:val="00281A2D"/>
    <w:rsid w:val="00286429"/>
    <w:rsid w:val="0029238F"/>
    <w:rsid w:val="00293121"/>
    <w:rsid w:val="002A5E19"/>
    <w:rsid w:val="002B09FA"/>
    <w:rsid w:val="002B405E"/>
    <w:rsid w:val="002C1960"/>
    <w:rsid w:val="002C6607"/>
    <w:rsid w:val="002C7F71"/>
    <w:rsid w:val="002D3376"/>
    <w:rsid w:val="002E3C0E"/>
    <w:rsid w:val="002F2BB0"/>
    <w:rsid w:val="002F2E08"/>
    <w:rsid w:val="002F380A"/>
    <w:rsid w:val="002F42F3"/>
    <w:rsid w:val="00323F49"/>
    <w:rsid w:val="003319C5"/>
    <w:rsid w:val="00331DE3"/>
    <w:rsid w:val="0033225F"/>
    <w:rsid w:val="00335636"/>
    <w:rsid w:val="0033648A"/>
    <w:rsid w:val="003403E6"/>
    <w:rsid w:val="003466C7"/>
    <w:rsid w:val="003479A1"/>
    <w:rsid w:val="00351122"/>
    <w:rsid w:val="00352BD7"/>
    <w:rsid w:val="0035671A"/>
    <w:rsid w:val="00357322"/>
    <w:rsid w:val="00361FA0"/>
    <w:rsid w:val="00362F0A"/>
    <w:rsid w:val="0036553E"/>
    <w:rsid w:val="00374293"/>
    <w:rsid w:val="00374F70"/>
    <w:rsid w:val="00375879"/>
    <w:rsid w:val="0038267A"/>
    <w:rsid w:val="00385476"/>
    <w:rsid w:val="003904DA"/>
    <w:rsid w:val="00394974"/>
    <w:rsid w:val="0039698B"/>
    <w:rsid w:val="003A4AA0"/>
    <w:rsid w:val="003A4D6E"/>
    <w:rsid w:val="003B06D5"/>
    <w:rsid w:val="003C611E"/>
    <w:rsid w:val="003D05B6"/>
    <w:rsid w:val="003D1E77"/>
    <w:rsid w:val="003D5488"/>
    <w:rsid w:val="003D56FD"/>
    <w:rsid w:val="003D7652"/>
    <w:rsid w:val="003E20A9"/>
    <w:rsid w:val="003E2A27"/>
    <w:rsid w:val="003E3386"/>
    <w:rsid w:val="003E4EE5"/>
    <w:rsid w:val="003F1149"/>
    <w:rsid w:val="003F64CE"/>
    <w:rsid w:val="004008A2"/>
    <w:rsid w:val="0040315B"/>
    <w:rsid w:val="00403FD1"/>
    <w:rsid w:val="004127FB"/>
    <w:rsid w:val="00416ECF"/>
    <w:rsid w:val="0041770C"/>
    <w:rsid w:val="00417AA9"/>
    <w:rsid w:val="0042228D"/>
    <w:rsid w:val="0043250C"/>
    <w:rsid w:val="00450F3C"/>
    <w:rsid w:val="00451F96"/>
    <w:rsid w:val="00454F08"/>
    <w:rsid w:val="0046639B"/>
    <w:rsid w:val="004668A3"/>
    <w:rsid w:val="0047229D"/>
    <w:rsid w:val="004A0804"/>
    <w:rsid w:val="004A7961"/>
    <w:rsid w:val="004B2A95"/>
    <w:rsid w:val="004B7DBA"/>
    <w:rsid w:val="004C1967"/>
    <w:rsid w:val="004C2C84"/>
    <w:rsid w:val="004C383C"/>
    <w:rsid w:val="004D029F"/>
    <w:rsid w:val="004D3B07"/>
    <w:rsid w:val="004D5215"/>
    <w:rsid w:val="004D7497"/>
    <w:rsid w:val="004E3838"/>
    <w:rsid w:val="004E50C2"/>
    <w:rsid w:val="004E5437"/>
    <w:rsid w:val="004F0169"/>
    <w:rsid w:val="004F3A57"/>
    <w:rsid w:val="00501B17"/>
    <w:rsid w:val="00504C12"/>
    <w:rsid w:val="00505A18"/>
    <w:rsid w:val="005067DE"/>
    <w:rsid w:val="005100BA"/>
    <w:rsid w:val="00525078"/>
    <w:rsid w:val="00531FAC"/>
    <w:rsid w:val="00534142"/>
    <w:rsid w:val="005345E1"/>
    <w:rsid w:val="005400B1"/>
    <w:rsid w:val="00540A8D"/>
    <w:rsid w:val="00544ABD"/>
    <w:rsid w:val="00545E82"/>
    <w:rsid w:val="00546277"/>
    <w:rsid w:val="00557F66"/>
    <w:rsid w:val="00560CD6"/>
    <w:rsid w:val="00561A4D"/>
    <w:rsid w:val="00562B3F"/>
    <w:rsid w:val="00564E88"/>
    <w:rsid w:val="00566935"/>
    <w:rsid w:val="005672E0"/>
    <w:rsid w:val="00573A8B"/>
    <w:rsid w:val="00577849"/>
    <w:rsid w:val="005778AD"/>
    <w:rsid w:val="00580448"/>
    <w:rsid w:val="00580D77"/>
    <w:rsid w:val="005926F2"/>
    <w:rsid w:val="00592787"/>
    <w:rsid w:val="00593AEF"/>
    <w:rsid w:val="005A6863"/>
    <w:rsid w:val="005B13FB"/>
    <w:rsid w:val="005B4FB8"/>
    <w:rsid w:val="005C2917"/>
    <w:rsid w:val="005C2BBE"/>
    <w:rsid w:val="005D1F25"/>
    <w:rsid w:val="005D4CA5"/>
    <w:rsid w:val="005D7F42"/>
    <w:rsid w:val="005F1DFB"/>
    <w:rsid w:val="006010F5"/>
    <w:rsid w:val="006026F0"/>
    <w:rsid w:val="00607BED"/>
    <w:rsid w:val="00614B85"/>
    <w:rsid w:val="006158C3"/>
    <w:rsid w:val="0061654D"/>
    <w:rsid w:val="00617BD2"/>
    <w:rsid w:val="00627C43"/>
    <w:rsid w:val="0063245A"/>
    <w:rsid w:val="00636089"/>
    <w:rsid w:val="006414A0"/>
    <w:rsid w:val="00643319"/>
    <w:rsid w:val="0064675B"/>
    <w:rsid w:val="00650C52"/>
    <w:rsid w:val="0065331F"/>
    <w:rsid w:val="00654F56"/>
    <w:rsid w:val="0066384E"/>
    <w:rsid w:val="00665683"/>
    <w:rsid w:val="00672155"/>
    <w:rsid w:val="006731F7"/>
    <w:rsid w:val="006851DC"/>
    <w:rsid w:val="006A1583"/>
    <w:rsid w:val="006A4856"/>
    <w:rsid w:val="006A605D"/>
    <w:rsid w:val="006A6391"/>
    <w:rsid w:val="006B0906"/>
    <w:rsid w:val="006B13A4"/>
    <w:rsid w:val="006B1404"/>
    <w:rsid w:val="006B31D5"/>
    <w:rsid w:val="006C3473"/>
    <w:rsid w:val="006C39C2"/>
    <w:rsid w:val="006C3AA9"/>
    <w:rsid w:val="006C4834"/>
    <w:rsid w:val="006D2C60"/>
    <w:rsid w:val="006D50C0"/>
    <w:rsid w:val="006D78C0"/>
    <w:rsid w:val="006E1EEB"/>
    <w:rsid w:val="006E2496"/>
    <w:rsid w:val="006E469C"/>
    <w:rsid w:val="006E478B"/>
    <w:rsid w:val="006F5E74"/>
    <w:rsid w:val="007028AF"/>
    <w:rsid w:val="00714208"/>
    <w:rsid w:val="0071429C"/>
    <w:rsid w:val="00714F6E"/>
    <w:rsid w:val="00721AF2"/>
    <w:rsid w:val="00730739"/>
    <w:rsid w:val="00733C1A"/>
    <w:rsid w:val="00734D99"/>
    <w:rsid w:val="0073646F"/>
    <w:rsid w:val="00744CD3"/>
    <w:rsid w:val="00746B08"/>
    <w:rsid w:val="0075026D"/>
    <w:rsid w:val="007541EA"/>
    <w:rsid w:val="007563B1"/>
    <w:rsid w:val="007611B2"/>
    <w:rsid w:val="00767F05"/>
    <w:rsid w:val="007725FA"/>
    <w:rsid w:val="007823D2"/>
    <w:rsid w:val="007825B0"/>
    <w:rsid w:val="00786193"/>
    <w:rsid w:val="00787C1D"/>
    <w:rsid w:val="00787CE3"/>
    <w:rsid w:val="007A042A"/>
    <w:rsid w:val="007A60DB"/>
    <w:rsid w:val="007A7E50"/>
    <w:rsid w:val="007C0451"/>
    <w:rsid w:val="007D286E"/>
    <w:rsid w:val="007E0F9E"/>
    <w:rsid w:val="007F1B5E"/>
    <w:rsid w:val="007F61B8"/>
    <w:rsid w:val="0080433E"/>
    <w:rsid w:val="00817C91"/>
    <w:rsid w:val="00820358"/>
    <w:rsid w:val="00826197"/>
    <w:rsid w:val="00827AA3"/>
    <w:rsid w:val="008418D4"/>
    <w:rsid w:val="00843337"/>
    <w:rsid w:val="008435D9"/>
    <w:rsid w:val="00843B67"/>
    <w:rsid w:val="00852E20"/>
    <w:rsid w:val="008546F8"/>
    <w:rsid w:val="00855006"/>
    <w:rsid w:val="00865889"/>
    <w:rsid w:val="00876727"/>
    <w:rsid w:val="008835B2"/>
    <w:rsid w:val="00885ACA"/>
    <w:rsid w:val="00886BAC"/>
    <w:rsid w:val="00886DC3"/>
    <w:rsid w:val="00886EFB"/>
    <w:rsid w:val="0088725C"/>
    <w:rsid w:val="00891CC5"/>
    <w:rsid w:val="008A3391"/>
    <w:rsid w:val="008A6648"/>
    <w:rsid w:val="008C4766"/>
    <w:rsid w:val="008D20F5"/>
    <w:rsid w:val="008D6E19"/>
    <w:rsid w:val="008E017E"/>
    <w:rsid w:val="008E1332"/>
    <w:rsid w:val="008E3929"/>
    <w:rsid w:val="008F0FC4"/>
    <w:rsid w:val="008F3D1E"/>
    <w:rsid w:val="008F793F"/>
    <w:rsid w:val="00900482"/>
    <w:rsid w:val="00905341"/>
    <w:rsid w:val="00907CDD"/>
    <w:rsid w:val="009102D9"/>
    <w:rsid w:val="00912D0C"/>
    <w:rsid w:val="00913524"/>
    <w:rsid w:val="00915B13"/>
    <w:rsid w:val="009171F8"/>
    <w:rsid w:val="009176B7"/>
    <w:rsid w:val="00921D12"/>
    <w:rsid w:val="00923860"/>
    <w:rsid w:val="00924671"/>
    <w:rsid w:val="00925EA6"/>
    <w:rsid w:val="009352FB"/>
    <w:rsid w:val="0094368C"/>
    <w:rsid w:val="009468F1"/>
    <w:rsid w:val="00960FA5"/>
    <w:rsid w:val="009625F2"/>
    <w:rsid w:val="00963642"/>
    <w:rsid w:val="00973479"/>
    <w:rsid w:val="009770E9"/>
    <w:rsid w:val="00986590"/>
    <w:rsid w:val="0099352D"/>
    <w:rsid w:val="0099467D"/>
    <w:rsid w:val="009947F3"/>
    <w:rsid w:val="009A347C"/>
    <w:rsid w:val="009B0BBA"/>
    <w:rsid w:val="009B10AE"/>
    <w:rsid w:val="009B76B5"/>
    <w:rsid w:val="009C2BB8"/>
    <w:rsid w:val="009C4058"/>
    <w:rsid w:val="009E5C9A"/>
    <w:rsid w:val="009F3248"/>
    <w:rsid w:val="009F4216"/>
    <w:rsid w:val="009F47ED"/>
    <w:rsid w:val="009F4A26"/>
    <w:rsid w:val="00A04F2C"/>
    <w:rsid w:val="00A05750"/>
    <w:rsid w:val="00A05A52"/>
    <w:rsid w:val="00A16945"/>
    <w:rsid w:val="00A20F49"/>
    <w:rsid w:val="00A220BC"/>
    <w:rsid w:val="00A25662"/>
    <w:rsid w:val="00A25DEE"/>
    <w:rsid w:val="00A336A0"/>
    <w:rsid w:val="00A374F1"/>
    <w:rsid w:val="00A406FE"/>
    <w:rsid w:val="00A469AD"/>
    <w:rsid w:val="00A506DB"/>
    <w:rsid w:val="00A50FE0"/>
    <w:rsid w:val="00A535F1"/>
    <w:rsid w:val="00A53A9E"/>
    <w:rsid w:val="00A547F9"/>
    <w:rsid w:val="00A54DEB"/>
    <w:rsid w:val="00A5675F"/>
    <w:rsid w:val="00A61045"/>
    <w:rsid w:val="00A62F09"/>
    <w:rsid w:val="00A63797"/>
    <w:rsid w:val="00A6510E"/>
    <w:rsid w:val="00A771F3"/>
    <w:rsid w:val="00A77260"/>
    <w:rsid w:val="00A82EA3"/>
    <w:rsid w:val="00A856FB"/>
    <w:rsid w:val="00A90F89"/>
    <w:rsid w:val="00A90FA5"/>
    <w:rsid w:val="00A914D0"/>
    <w:rsid w:val="00A94085"/>
    <w:rsid w:val="00AA1E82"/>
    <w:rsid w:val="00AA3CA7"/>
    <w:rsid w:val="00AA6685"/>
    <w:rsid w:val="00AA679C"/>
    <w:rsid w:val="00AA7EF4"/>
    <w:rsid w:val="00AB60B0"/>
    <w:rsid w:val="00AC2A69"/>
    <w:rsid w:val="00AC4ADE"/>
    <w:rsid w:val="00AC4F63"/>
    <w:rsid w:val="00AC5D62"/>
    <w:rsid w:val="00AD12D9"/>
    <w:rsid w:val="00AD5857"/>
    <w:rsid w:val="00AD66B7"/>
    <w:rsid w:val="00AE70EF"/>
    <w:rsid w:val="00AF2880"/>
    <w:rsid w:val="00AF2BF3"/>
    <w:rsid w:val="00AF346B"/>
    <w:rsid w:val="00AF3A84"/>
    <w:rsid w:val="00AF3DC9"/>
    <w:rsid w:val="00AF46E5"/>
    <w:rsid w:val="00AF6892"/>
    <w:rsid w:val="00B06EB4"/>
    <w:rsid w:val="00B11901"/>
    <w:rsid w:val="00B27FCF"/>
    <w:rsid w:val="00B30176"/>
    <w:rsid w:val="00B3128F"/>
    <w:rsid w:val="00B34EFF"/>
    <w:rsid w:val="00B35CD5"/>
    <w:rsid w:val="00B41887"/>
    <w:rsid w:val="00B43963"/>
    <w:rsid w:val="00B441CA"/>
    <w:rsid w:val="00B44610"/>
    <w:rsid w:val="00B65C2C"/>
    <w:rsid w:val="00B744CC"/>
    <w:rsid w:val="00B85132"/>
    <w:rsid w:val="00B90DAE"/>
    <w:rsid w:val="00B93058"/>
    <w:rsid w:val="00BA59E6"/>
    <w:rsid w:val="00BB00EF"/>
    <w:rsid w:val="00BB035D"/>
    <w:rsid w:val="00BC3573"/>
    <w:rsid w:val="00BC3FD0"/>
    <w:rsid w:val="00BC728E"/>
    <w:rsid w:val="00BD5CA9"/>
    <w:rsid w:val="00BD703A"/>
    <w:rsid w:val="00BF1F2C"/>
    <w:rsid w:val="00BF3D97"/>
    <w:rsid w:val="00BF48A9"/>
    <w:rsid w:val="00C02ADC"/>
    <w:rsid w:val="00C06A10"/>
    <w:rsid w:val="00C1014F"/>
    <w:rsid w:val="00C1115A"/>
    <w:rsid w:val="00C17FF8"/>
    <w:rsid w:val="00C208E4"/>
    <w:rsid w:val="00C31ECF"/>
    <w:rsid w:val="00C324B2"/>
    <w:rsid w:val="00C418C2"/>
    <w:rsid w:val="00C5100C"/>
    <w:rsid w:val="00C65475"/>
    <w:rsid w:val="00C66742"/>
    <w:rsid w:val="00C7157B"/>
    <w:rsid w:val="00C81650"/>
    <w:rsid w:val="00C82BDF"/>
    <w:rsid w:val="00C91530"/>
    <w:rsid w:val="00C92798"/>
    <w:rsid w:val="00C96174"/>
    <w:rsid w:val="00CA7979"/>
    <w:rsid w:val="00CB2BDA"/>
    <w:rsid w:val="00CB3A64"/>
    <w:rsid w:val="00CB5AF0"/>
    <w:rsid w:val="00CB6996"/>
    <w:rsid w:val="00CC08EB"/>
    <w:rsid w:val="00CC4E2F"/>
    <w:rsid w:val="00CC7A54"/>
    <w:rsid w:val="00CD4C95"/>
    <w:rsid w:val="00CD6592"/>
    <w:rsid w:val="00CD710A"/>
    <w:rsid w:val="00CD71E9"/>
    <w:rsid w:val="00CE0F91"/>
    <w:rsid w:val="00CE338B"/>
    <w:rsid w:val="00CF0364"/>
    <w:rsid w:val="00CF76D7"/>
    <w:rsid w:val="00CF7DFD"/>
    <w:rsid w:val="00D02FC0"/>
    <w:rsid w:val="00D04FC6"/>
    <w:rsid w:val="00D079E8"/>
    <w:rsid w:val="00D15690"/>
    <w:rsid w:val="00D172B1"/>
    <w:rsid w:val="00D22081"/>
    <w:rsid w:val="00D26DAE"/>
    <w:rsid w:val="00D27C2B"/>
    <w:rsid w:val="00D30AC7"/>
    <w:rsid w:val="00D31DE7"/>
    <w:rsid w:val="00D3230A"/>
    <w:rsid w:val="00D35165"/>
    <w:rsid w:val="00D35817"/>
    <w:rsid w:val="00D366CE"/>
    <w:rsid w:val="00D37836"/>
    <w:rsid w:val="00D417CC"/>
    <w:rsid w:val="00D4238C"/>
    <w:rsid w:val="00D43514"/>
    <w:rsid w:val="00D46BFA"/>
    <w:rsid w:val="00D51F88"/>
    <w:rsid w:val="00D53FDB"/>
    <w:rsid w:val="00D60274"/>
    <w:rsid w:val="00D63B22"/>
    <w:rsid w:val="00D64634"/>
    <w:rsid w:val="00D70228"/>
    <w:rsid w:val="00D70F09"/>
    <w:rsid w:val="00D74BBC"/>
    <w:rsid w:val="00D77188"/>
    <w:rsid w:val="00D77E43"/>
    <w:rsid w:val="00D8358E"/>
    <w:rsid w:val="00D934F1"/>
    <w:rsid w:val="00D93D75"/>
    <w:rsid w:val="00D967AD"/>
    <w:rsid w:val="00DA7338"/>
    <w:rsid w:val="00DB1A9D"/>
    <w:rsid w:val="00DB3AB0"/>
    <w:rsid w:val="00DC1A6C"/>
    <w:rsid w:val="00DC1D8C"/>
    <w:rsid w:val="00DC2049"/>
    <w:rsid w:val="00DC659F"/>
    <w:rsid w:val="00DD140D"/>
    <w:rsid w:val="00DD16D0"/>
    <w:rsid w:val="00DD6279"/>
    <w:rsid w:val="00DD7446"/>
    <w:rsid w:val="00DE0424"/>
    <w:rsid w:val="00DE04F3"/>
    <w:rsid w:val="00DE7660"/>
    <w:rsid w:val="00DF391B"/>
    <w:rsid w:val="00DF7AD2"/>
    <w:rsid w:val="00E011B0"/>
    <w:rsid w:val="00E03062"/>
    <w:rsid w:val="00E04CA2"/>
    <w:rsid w:val="00E078B6"/>
    <w:rsid w:val="00E1322F"/>
    <w:rsid w:val="00E1546E"/>
    <w:rsid w:val="00E21A00"/>
    <w:rsid w:val="00E23824"/>
    <w:rsid w:val="00E26B57"/>
    <w:rsid w:val="00E27096"/>
    <w:rsid w:val="00E444F6"/>
    <w:rsid w:val="00E50CB0"/>
    <w:rsid w:val="00E524DE"/>
    <w:rsid w:val="00E575D1"/>
    <w:rsid w:val="00E7091E"/>
    <w:rsid w:val="00E7122D"/>
    <w:rsid w:val="00E7126E"/>
    <w:rsid w:val="00E7201E"/>
    <w:rsid w:val="00E927E5"/>
    <w:rsid w:val="00E927F4"/>
    <w:rsid w:val="00E970A5"/>
    <w:rsid w:val="00EA36E6"/>
    <w:rsid w:val="00EA5A37"/>
    <w:rsid w:val="00EA6D5D"/>
    <w:rsid w:val="00EB053C"/>
    <w:rsid w:val="00EB20E2"/>
    <w:rsid w:val="00EB3EA6"/>
    <w:rsid w:val="00ED1ED4"/>
    <w:rsid w:val="00ED6577"/>
    <w:rsid w:val="00ED7F16"/>
    <w:rsid w:val="00EE37CF"/>
    <w:rsid w:val="00EE4998"/>
    <w:rsid w:val="00F01EEE"/>
    <w:rsid w:val="00F026D2"/>
    <w:rsid w:val="00F041AF"/>
    <w:rsid w:val="00F04931"/>
    <w:rsid w:val="00F21E94"/>
    <w:rsid w:val="00F2260E"/>
    <w:rsid w:val="00F2460D"/>
    <w:rsid w:val="00F25DFD"/>
    <w:rsid w:val="00F274BD"/>
    <w:rsid w:val="00F3325F"/>
    <w:rsid w:val="00F357EE"/>
    <w:rsid w:val="00F3707E"/>
    <w:rsid w:val="00F43DC5"/>
    <w:rsid w:val="00F47035"/>
    <w:rsid w:val="00F51A2E"/>
    <w:rsid w:val="00F52CE5"/>
    <w:rsid w:val="00F56507"/>
    <w:rsid w:val="00F56B40"/>
    <w:rsid w:val="00F56EFF"/>
    <w:rsid w:val="00F63479"/>
    <w:rsid w:val="00F6358B"/>
    <w:rsid w:val="00F659AF"/>
    <w:rsid w:val="00F66BAD"/>
    <w:rsid w:val="00F67B5D"/>
    <w:rsid w:val="00F727E2"/>
    <w:rsid w:val="00F72879"/>
    <w:rsid w:val="00F77B1F"/>
    <w:rsid w:val="00F83B91"/>
    <w:rsid w:val="00F84F64"/>
    <w:rsid w:val="00F92453"/>
    <w:rsid w:val="00F93C3A"/>
    <w:rsid w:val="00F96191"/>
    <w:rsid w:val="00F964EE"/>
    <w:rsid w:val="00FA1819"/>
    <w:rsid w:val="00FB21DC"/>
    <w:rsid w:val="00FB6BDC"/>
    <w:rsid w:val="00FC0027"/>
    <w:rsid w:val="00FC0F2D"/>
    <w:rsid w:val="00FC5AE6"/>
    <w:rsid w:val="00FC6842"/>
    <w:rsid w:val="00FC6C90"/>
    <w:rsid w:val="00FE2218"/>
    <w:rsid w:val="00FE3EBB"/>
    <w:rsid w:val="00FE54CE"/>
    <w:rsid w:val="00FE737F"/>
    <w:rsid w:val="00FF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F0E64"/>
  <w15:chartTrackingRefBased/>
  <w15:docId w15:val="{D8DAF4AE-3E7C-4451-B976-359680FE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D0"/>
    <w:pPr>
      <w:widowControl w:val="0"/>
      <w:spacing w:before="100" w:after="100"/>
    </w:pPr>
    <w:rPr>
      <w:snapToGrid w:val="0"/>
      <w:sz w:val="24"/>
      <w:lang w:val="en-US" w:eastAsia="en-US"/>
    </w:rPr>
  </w:style>
  <w:style w:type="paragraph" w:styleId="Heading2">
    <w:name w:val="heading 2"/>
    <w:basedOn w:val="Normal"/>
    <w:next w:val="Normal"/>
    <w:link w:val="Heading2Char"/>
    <w:autoRedefine/>
    <w:qFormat/>
    <w:rsid w:val="00A90F89"/>
    <w:pPr>
      <w:keepNext/>
      <w:widowControl/>
      <w:numPr>
        <w:numId w:val="39"/>
      </w:numPr>
      <w:spacing w:before="240" w:after="120"/>
      <w:jc w:val="both"/>
      <w:outlineLvl w:val="1"/>
    </w:pPr>
    <w:rPr>
      <w:b/>
      <w:sz w:val="22"/>
      <w:szCs w:val="22"/>
      <w:lang w:val="en-GB"/>
    </w:rPr>
  </w:style>
  <w:style w:type="paragraph" w:styleId="Heading3">
    <w:name w:val="heading 3"/>
    <w:basedOn w:val="Normal"/>
    <w:next w:val="Normal"/>
    <w:link w:val="Heading3Char"/>
    <w:qFormat/>
    <w:rsid w:val="00A90F89"/>
    <w:pPr>
      <w:widowControl/>
      <w:numPr>
        <w:ilvl w:val="1"/>
        <w:numId w:val="39"/>
      </w:numPr>
      <w:spacing w:before="240" w:after="120"/>
      <w:jc w:val="both"/>
      <w:outlineLvl w:val="2"/>
    </w:pPr>
    <w:rPr>
      <w:snapToGrid/>
      <w:sz w:val="22"/>
      <w:szCs w:val="22"/>
      <w:lang w:val="en-GB"/>
    </w:rPr>
  </w:style>
  <w:style w:type="paragraph" w:styleId="Heading4">
    <w:name w:val="heading 4"/>
    <w:basedOn w:val="Normal"/>
    <w:next w:val="Normal"/>
    <w:link w:val="Heading4Char"/>
    <w:autoRedefine/>
    <w:qFormat/>
    <w:rsid w:val="00C81650"/>
    <w:pPr>
      <w:widowControl/>
      <w:spacing w:before="120" w:after="120"/>
      <w:ind w:left="1440"/>
      <w:jc w:val="both"/>
      <w:outlineLvl w:val="3"/>
    </w:pPr>
    <w:rPr>
      <w:sz w:val="22"/>
      <w:szCs w:val="22"/>
      <w:lang w:val="en-GB"/>
    </w:rPr>
  </w:style>
  <w:style w:type="paragraph" w:styleId="Heading5">
    <w:name w:val="heading 5"/>
    <w:basedOn w:val="Normal"/>
    <w:next w:val="Normal"/>
    <w:link w:val="Heading5Char"/>
    <w:qFormat/>
    <w:rsid w:val="00A90F89"/>
    <w:pPr>
      <w:widowControl/>
      <w:numPr>
        <w:ilvl w:val="3"/>
        <w:numId w:val="39"/>
      </w:numPr>
      <w:spacing w:before="240" w:after="120"/>
      <w:jc w:val="both"/>
      <w:outlineLvl w:val="4"/>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link w:val="BlockquoteChar"/>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basedOn w:val="Normal"/>
    <w:link w:val="FootnoteTextChar"/>
    <w:autoRedefine/>
    <w:rsid w:val="00BC3FD0"/>
    <w:pPr>
      <w:spacing w:before="0" w:after="120"/>
    </w:pPr>
    <w:rPr>
      <w:sz w:val="20"/>
    </w:rPr>
  </w:style>
  <w:style w:type="character" w:customStyle="1" w:styleId="FootnoteTextChar">
    <w:name w:val="Footnote Text Char"/>
    <w:link w:val="FootnoteText"/>
    <w:rsid w:val="00BC3FD0"/>
    <w:rPr>
      <w:snapToGrid w:val="0"/>
      <w:lang w:val="en-US" w:eastAsia="en-US"/>
    </w:rPr>
  </w:style>
  <w:style w:type="character" w:styleId="FootnoteReference">
    <w:name w:val="footnote reference"/>
    <w:rsid w:val="000E3C60"/>
    <w:rPr>
      <w:vertAlign w:val="superscript"/>
    </w:rPr>
  </w:style>
  <w:style w:type="character" w:styleId="CommentReference">
    <w:name w:val="annotation reference"/>
    <w:uiPriority w:val="99"/>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customStyle="1" w:styleId="Text1">
    <w:name w:val="Text 1"/>
    <w:basedOn w:val="Normal"/>
    <w:rsid w:val="0080433E"/>
    <w:pPr>
      <w:widowControl/>
      <w:spacing w:before="120" w:after="120"/>
      <w:ind w:left="850"/>
      <w:jc w:val="both"/>
    </w:pPr>
    <w:rPr>
      <w:rFonts w:eastAsia="Calibri"/>
      <w:snapToGrid/>
      <w:szCs w:val="22"/>
      <w:lang w:val="en-GB"/>
    </w:rPr>
  </w:style>
  <w:style w:type="paragraph" w:customStyle="1" w:styleId="Text2">
    <w:name w:val="Text 2"/>
    <w:basedOn w:val="Normal"/>
    <w:rsid w:val="0080433E"/>
    <w:pPr>
      <w:widowControl/>
      <w:spacing w:before="120" w:after="120"/>
      <w:ind w:left="1417"/>
      <w:jc w:val="both"/>
    </w:pPr>
    <w:rPr>
      <w:rFonts w:eastAsia="Calibri"/>
      <w:snapToGrid/>
      <w:szCs w:val="22"/>
      <w:lang w:val="en-GB"/>
    </w:rPr>
  </w:style>
  <w:style w:type="paragraph" w:styleId="BodyTextIndent">
    <w:name w:val="Body Text Indent"/>
    <w:basedOn w:val="Normal"/>
    <w:link w:val="BodyTextIndentChar"/>
    <w:rsid w:val="00A90F89"/>
    <w:pPr>
      <w:widowControl/>
      <w:spacing w:before="0" w:after="120"/>
      <w:ind w:left="567"/>
      <w:jc w:val="both"/>
    </w:pPr>
    <w:rPr>
      <w:sz w:val="22"/>
      <w:lang w:val="en-GB"/>
    </w:rPr>
  </w:style>
  <w:style w:type="character" w:customStyle="1" w:styleId="BodyTextIndentChar">
    <w:name w:val="Body Text Indent Char"/>
    <w:link w:val="BodyTextIndent"/>
    <w:rsid w:val="00A90F89"/>
    <w:rPr>
      <w:snapToGrid w:val="0"/>
      <w:sz w:val="22"/>
      <w:lang w:eastAsia="en-US"/>
    </w:rPr>
  </w:style>
  <w:style w:type="character" w:customStyle="1" w:styleId="Heading2Char">
    <w:name w:val="Heading 2 Char"/>
    <w:link w:val="Heading2"/>
    <w:rsid w:val="00A90F89"/>
    <w:rPr>
      <w:b/>
      <w:snapToGrid w:val="0"/>
      <w:sz w:val="22"/>
      <w:szCs w:val="22"/>
      <w:lang w:eastAsia="en-US"/>
    </w:rPr>
  </w:style>
  <w:style w:type="character" w:customStyle="1" w:styleId="Heading3Char">
    <w:name w:val="Heading 3 Char"/>
    <w:link w:val="Heading3"/>
    <w:rsid w:val="00A90F89"/>
    <w:rPr>
      <w:sz w:val="22"/>
      <w:szCs w:val="22"/>
      <w:lang w:eastAsia="en-US"/>
    </w:rPr>
  </w:style>
  <w:style w:type="character" w:customStyle="1" w:styleId="Heading4Char">
    <w:name w:val="Heading 4 Char"/>
    <w:link w:val="Heading4"/>
    <w:rsid w:val="00C81650"/>
    <w:rPr>
      <w:snapToGrid w:val="0"/>
      <w:sz w:val="22"/>
      <w:szCs w:val="22"/>
      <w:lang w:eastAsia="en-US"/>
    </w:rPr>
  </w:style>
  <w:style w:type="character" w:customStyle="1" w:styleId="Heading5Char">
    <w:name w:val="Heading 5 Char"/>
    <w:link w:val="Heading5"/>
    <w:rsid w:val="00A90F89"/>
    <w:rPr>
      <w:snapToGrid w:val="0"/>
      <w:sz w:val="22"/>
      <w:szCs w:val="22"/>
      <w:lang w:eastAsia="en-US"/>
    </w:rPr>
  </w:style>
  <w:style w:type="paragraph" w:styleId="ListParagraph">
    <w:name w:val="List Paragraph"/>
    <w:basedOn w:val="Normal"/>
    <w:uiPriority w:val="34"/>
    <w:qFormat/>
    <w:rsid w:val="00F357EE"/>
    <w:pPr>
      <w:ind w:left="720"/>
      <w:contextualSpacing/>
    </w:pPr>
  </w:style>
  <w:style w:type="character" w:customStyle="1" w:styleId="UnresolvedMention1">
    <w:name w:val="Unresolved Mention1"/>
    <w:basedOn w:val="DefaultParagraphFont"/>
    <w:uiPriority w:val="99"/>
    <w:semiHidden/>
    <w:unhideWhenUsed/>
    <w:rsid w:val="00907CDD"/>
    <w:rPr>
      <w:color w:val="605E5C"/>
      <w:shd w:val="clear" w:color="auto" w:fill="E1DFDD"/>
    </w:rPr>
  </w:style>
  <w:style w:type="character" w:customStyle="1" w:styleId="BlockquoteChar">
    <w:name w:val="Blockquote Char"/>
    <w:link w:val="Blockquote"/>
    <w:rsid w:val="007823D2"/>
    <w:rPr>
      <w:snapToGrid w:val="0"/>
      <w:sz w:val="24"/>
      <w:lang w:val="en-US" w:eastAsia="en-US"/>
    </w:rPr>
  </w:style>
  <w:style w:type="paragraph" w:styleId="Revision">
    <w:name w:val="Revision"/>
    <w:hidden/>
    <w:uiPriority w:val="99"/>
    <w:semiHidden/>
    <w:rsid w:val="002F42F3"/>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2891">
      <w:bodyDiv w:val="1"/>
      <w:marLeft w:val="0"/>
      <w:marRight w:val="0"/>
      <w:marTop w:val="0"/>
      <w:marBottom w:val="0"/>
      <w:divBdr>
        <w:top w:val="none" w:sz="0" w:space="0" w:color="auto"/>
        <w:left w:val="none" w:sz="0" w:space="0" w:color="auto"/>
        <w:bottom w:val="none" w:sz="0" w:space="0" w:color="auto"/>
        <w:right w:val="none" w:sz="0" w:space="0" w:color="auto"/>
      </w:divBdr>
    </w:div>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1363480623">
      <w:bodyDiv w:val="1"/>
      <w:marLeft w:val="0"/>
      <w:marRight w:val="0"/>
      <w:marTop w:val="0"/>
      <w:marBottom w:val="0"/>
      <w:divBdr>
        <w:top w:val="none" w:sz="0" w:space="0" w:color="auto"/>
        <w:left w:val="none" w:sz="0" w:space="0" w:color="auto"/>
        <w:bottom w:val="none" w:sz="0" w:space="0" w:color="auto"/>
        <w:right w:val="none" w:sz="0" w:space="0" w:color="auto"/>
      </w:divBdr>
    </w:div>
    <w:div w:id="1988825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uropeaid/online-services/index.cfm?do=publi.welcome" TargetMode="External"/><Relationship Id="rId13" Type="http://schemas.openxmlformats.org/officeDocument/2006/relationships/hyperlink" Target="http://www.ipa-cbc-programme.eu/ho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epp.gov.m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europeaid/online-services/index.cfm?do=publi.welc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pa-cbc-programme.eu/home/" TargetMode="External"/><Relationship Id="rId4" Type="http://schemas.openxmlformats.org/officeDocument/2006/relationships/settings" Target="settings.xml"/><Relationship Id="rId9" Type="http://schemas.openxmlformats.org/officeDocument/2006/relationships/hyperlink" Target="http://www.moepp.gov.mk" TargetMode="External"/><Relationship Id="rId14" Type="http://schemas.openxmlformats.org/officeDocument/2006/relationships/hyperlink" Target="http://ec.europa.eu/budget/graphs/inforeu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51E8C-70DE-4CD2-AC3F-DB1F2ABC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2346</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15442</CharactersWithSpaces>
  <SharedDoc>false</SharedDoc>
  <HLinks>
    <vt:vector size="12" baseType="variant">
      <vt:variant>
        <vt:i4>4784206</vt:i4>
      </vt:variant>
      <vt:variant>
        <vt:i4>3</vt:i4>
      </vt:variant>
      <vt:variant>
        <vt:i4>0</vt:i4>
      </vt:variant>
      <vt:variant>
        <vt:i4>5</vt:i4>
      </vt:variant>
      <vt:variant>
        <vt:lpwstr>https://webgate.ec.europa.eu/europeaid/online-services/index.cfm?do=publi.welcome</vt:lpwstr>
      </vt:variant>
      <vt:variant>
        <vt:lpwstr/>
      </vt:variant>
      <vt:variant>
        <vt:i4>4784206</vt:i4>
      </vt:variant>
      <vt:variant>
        <vt:i4>0</vt:i4>
      </vt:variant>
      <vt:variant>
        <vt:i4>0</vt:i4>
      </vt:variant>
      <vt:variant>
        <vt:i4>5</vt:i4>
      </vt:variant>
      <vt:variant>
        <vt:lpwstr>https://webgate.ec.europa.eu/europeaid/online-services/index.cfm?do=publi.welcome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BOURDILLEAU Anne (DEVCO)</dc:creator>
  <cp:keywords/>
  <cp:lastModifiedBy>Igor Atanasov</cp:lastModifiedBy>
  <cp:revision>8</cp:revision>
  <cp:lastPrinted>2012-09-24T08:29:00Z</cp:lastPrinted>
  <dcterms:created xsi:type="dcterms:W3CDTF">2020-01-24T08:17:00Z</dcterms:created>
  <dcterms:modified xsi:type="dcterms:W3CDTF">2020-01-30T11:35:00Z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-1612957816</vt:i4>
  </property>
  <property fmtid="{D5CDD505-2E9C-101B-9397-08002B2CF9AE}" pid="4" name="Checked by">
    <vt:lpwstr>duboile</vt:lpwstr>
  </property>
  <property fmtid="{D5CDD505-2E9C-101B-9397-08002B2CF9AE}" pid="5" name="_PreviousAdHocReviewCycleID">
    <vt:i4>-238929066</vt:i4>
  </property>
  <property fmtid="{D5CDD505-2E9C-101B-9397-08002B2CF9AE}" pid="6" name="_ReviewingToolsShownOnce">
    <vt:lpwstr/>
  </property>
</Properties>
</file>